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F242" w14:textId="78AE85EB" w:rsidR="0004766D" w:rsidRPr="0004766D" w:rsidRDefault="0004766D" w:rsidP="0004766D">
      <w:pPr>
        <w:spacing w:after="120" w:line="240" w:lineRule="auto"/>
        <w:ind w:left="-170" w:right="-170"/>
        <w:rPr>
          <w:rFonts w:cstheme="minorHAnsi"/>
          <w:b/>
          <w:bCs/>
          <w:lang w:val="en-US"/>
        </w:rPr>
      </w:pPr>
      <w:r w:rsidRPr="0004766D">
        <w:rPr>
          <w:rFonts w:cstheme="minorHAnsi"/>
          <w:b/>
          <w:bCs/>
          <w:lang w:val="en-US"/>
        </w:rPr>
        <w:t>RISK FACTORS FOR SSI AFTER KNEE REPLACEMENT ARTHROPLASTY: SCOPING REVIEW</w:t>
      </w:r>
    </w:p>
    <w:p w14:paraId="69862624" w14:textId="51003FDA" w:rsidR="00224C39" w:rsidRPr="0004766D" w:rsidRDefault="0004766D" w:rsidP="00224C39">
      <w:pPr>
        <w:pStyle w:val="Ttulo"/>
        <w:ind w:left="-170" w:right="-170"/>
        <w:jc w:val="both"/>
        <w:rPr>
          <w:rFonts w:asciiTheme="minorHAnsi" w:hAnsiTheme="minorHAnsi" w:cstheme="minorHAnsi"/>
          <w:b w:val="0"/>
          <w:caps w:val="0"/>
          <w:color w:val="auto"/>
          <w:sz w:val="22"/>
          <w:lang w:val="pt-PT"/>
        </w:rPr>
      </w:pPr>
      <w:r w:rsidRPr="0004766D">
        <w:rPr>
          <w:rFonts w:asciiTheme="minorHAnsi" w:hAnsiTheme="minorHAnsi" w:cstheme="minorHAnsi"/>
          <w:b w:val="0"/>
          <w:caps w:val="0"/>
          <w:color w:val="auto"/>
          <w:sz w:val="22"/>
          <w:lang w:val="pt-PT"/>
        </w:rPr>
        <w:t xml:space="preserve">Fatores de risco de </w:t>
      </w:r>
      <w:proofErr w:type="spellStart"/>
      <w:r w:rsidRPr="0004766D">
        <w:rPr>
          <w:rFonts w:asciiTheme="minorHAnsi" w:hAnsiTheme="minorHAnsi" w:cstheme="minorHAnsi"/>
          <w:b w:val="0"/>
          <w:caps w:val="0"/>
          <w:color w:val="auto"/>
          <w:sz w:val="22"/>
          <w:lang w:val="pt-PT"/>
        </w:rPr>
        <w:t>ilc</w:t>
      </w:r>
      <w:proofErr w:type="spellEnd"/>
      <w:r w:rsidRPr="0004766D">
        <w:rPr>
          <w:rFonts w:asciiTheme="minorHAnsi" w:hAnsiTheme="minorHAnsi" w:cstheme="minorHAnsi"/>
          <w:b w:val="0"/>
          <w:caps w:val="0"/>
          <w:color w:val="auto"/>
          <w:sz w:val="22"/>
          <w:lang w:val="pt-PT"/>
        </w:rPr>
        <w:t xml:space="preserve"> após </w:t>
      </w:r>
      <w:proofErr w:type="spellStart"/>
      <w:r w:rsidRPr="0004766D">
        <w:rPr>
          <w:rFonts w:asciiTheme="minorHAnsi" w:hAnsiTheme="minorHAnsi" w:cstheme="minorHAnsi"/>
          <w:b w:val="0"/>
          <w:caps w:val="0"/>
          <w:color w:val="auto"/>
          <w:sz w:val="22"/>
          <w:lang w:val="pt-PT"/>
        </w:rPr>
        <w:t>artroplastia</w:t>
      </w:r>
      <w:proofErr w:type="spellEnd"/>
      <w:r w:rsidRPr="0004766D">
        <w:rPr>
          <w:rFonts w:asciiTheme="minorHAnsi" w:hAnsiTheme="minorHAnsi" w:cstheme="minorHAnsi"/>
          <w:b w:val="0"/>
          <w:caps w:val="0"/>
          <w:color w:val="auto"/>
          <w:sz w:val="22"/>
          <w:lang w:val="pt-PT"/>
        </w:rPr>
        <w:t xml:space="preserve"> do joelho: </w:t>
      </w:r>
      <w:proofErr w:type="spellStart"/>
      <w:r w:rsidRPr="0004766D">
        <w:rPr>
          <w:rFonts w:asciiTheme="minorHAnsi" w:hAnsiTheme="minorHAnsi" w:cstheme="minorHAnsi"/>
          <w:b w:val="0"/>
          <w:caps w:val="0"/>
          <w:color w:val="auto"/>
          <w:sz w:val="22"/>
          <w:lang w:val="pt-PT"/>
        </w:rPr>
        <w:t>scoping</w:t>
      </w:r>
      <w:proofErr w:type="spellEnd"/>
      <w:r w:rsidRPr="0004766D">
        <w:rPr>
          <w:rFonts w:asciiTheme="minorHAnsi" w:hAnsiTheme="minorHAnsi" w:cstheme="minorHAnsi"/>
          <w:b w:val="0"/>
          <w:caps w:val="0"/>
          <w:color w:val="auto"/>
          <w:sz w:val="22"/>
          <w:lang w:val="pt-PT"/>
        </w:rPr>
        <w:t xml:space="preserve"> </w:t>
      </w:r>
      <w:proofErr w:type="spellStart"/>
      <w:r w:rsidRPr="0004766D">
        <w:rPr>
          <w:rFonts w:asciiTheme="minorHAnsi" w:hAnsiTheme="minorHAnsi" w:cstheme="minorHAnsi"/>
          <w:b w:val="0"/>
          <w:caps w:val="0"/>
          <w:color w:val="auto"/>
          <w:sz w:val="22"/>
          <w:lang w:val="pt-PT"/>
        </w:rPr>
        <w:t>review</w:t>
      </w:r>
      <w:proofErr w:type="spellEnd"/>
    </w:p>
    <w:p w14:paraId="68C1B2DD" w14:textId="77777777" w:rsidR="00224C39" w:rsidRPr="005C427E" w:rsidRDefault="00224C39" w:rsidP="00224C39">
      <w:pPr>
        <w:spacing w:after="120" w:line="240" w:lineRule="auto"/>
        <w:ind w:left="-170" w:right="-170"/>
        <w:rPr>
          <w:rFonts w:cstheme="minorHAnsi"/>
        </w:rPr>
      </w:pPr>
      <w:proofErr w:type="spellStart"/>
      <w:r w:rsidRPr="005C427E">
        <w:t>Factores</w:t>
      </w:r>
      <w:proofErr w:type="spellEnd"/>
      <w:r w:rsidRPr="005C427E">
        <w:t xml:space="preserve"> de </w:t>
      </w:r>
      <w:proofErr w:type="spellStart"/>
      <w:r w:rsidRPr="005C427E">
        <w:t>riesgo</w:t>
      </w:r>
      <w:proofErr w:type="spellEnd"/>
      <w:r w:rsidRPr="005C427E">
        <w:t xml:space="preserve"> de ISQ </w:t>
      </w:r>
      <w:proofErr w:type="spellStart"/>
      <w:r w:rsidRPr="005C427E">
        <w:t>después</w:t>
      </w:r>
      <w:proofErr w:type="spellEnd"/>
      <w:r w:rsidRPr="005C427E">
        <w:t xml:space="preserve"> de una </w:t>
      </w:r>
      <w:proofErr w:type="spellStart"/>
      <w:r w:rsidRPr="005C427E">
        <w:t>artroplastia</w:t>
      </w:r>
      <w:proofErr w:type="spellEnd"/>
      <w:r w:rsidRPr="005C427E">
        <w:t xml:space="preserve"> de </w:t>
      </w:r>
      <w:proofErr w:type="spellStart"/>
      <w:r w:rsidRPr="005C427E">
        <w:t>rodilla</w:t>
      </w:r>
      <w:proofErr w:type="spellEnd"/>
      <w:r w:rsidRPr="005C427E">
        <w:t xml:space="preserve">: </w:t>
      </w:r>
      <w:proofErr w:type="spellStart"/>
      <w:r w:rsidRPr="005C427E">
        <w:t>revisión</w:t>
      </w:r>
      <w:proofErr w:type="spellEnd"/>
      <w:r w:rsidRPr="005C427E">
        <w:t xml:space="preserve"> </w:t>
      </w:r>
      <w:proofErr w:type="spellStart"/>
      <w:r w:rsidRPr="005C427E">
        <w:t>del</w:t>
      </w:r>
      <w:proofErr w:type="spellEnd"/>
      <w:r w:rsidRPr="005C427E">
        <w:t xml:space="preserve"> alcance</w:t>
      </w:r>
    </w:p>
    <w:p w14:paraId="69F7ADF6" w14:textId="4120F06A" w:rsidR="00224C39" w:rsidRPr="005C427E" w:rsidRDefault="00224C39" w:rsidP="00224C39">
      <w:pPr>
        <w:spacing w:after="120" w:line="240" w:lineRule="auto"/>
        <w:ind w:left="-170" w:right="-170"/>
        <w:rPr>
          <w:rFonts w:cstheme="minorHAnsi"/>
          <w:sz w:val="20"/>
          <w:szCs w:val="20"/>
        </w:rPr>
      </w:pPr>
    </w:p>
    <w:p w14:paraId="5DD9A2DD" w14:textId="40D8021A" w:rsidR="00224C39" w:rsidRPr="005C427E" w:rsidRDefault="00224C39" w:rsidP="00224C39">
      <w:pPr>
        <w:spacing w:after="0" w:line="240" w:lineRule="auto"/>
        <w:ind w:left="-170" w:right="-170"/>
        <w:jc w:val="both"/>
        <w:rPr>
          <w:rFonts w:cstheme="minorHAnsi"/>
          <w:lang w:val="en-US"/>
        </w:rPr>
      </w:pPr>
      <w:r w:rsidRPr="005C427E">
        <w:rPr>
          <w:lang w:val="en-US"/>
        </w:rPr>
        <w:t>Luciana Forte</w:t>
      </w:r>
      <w:r w:rsidRPr="005C427E">
        <w:rPr>
          <w:rFonts w:cstheme="minorHAnsi"/>
          <w:lang w:val="en-US"/>
        </w:rPr>
        <w:t xml:space="preserve">*, </w:t>
      </w:r>
      <w:r w:rsidRPr="005C427E">
        <w:rPr>
          <w:lang w:val="en-US"/>
        </w:rPr>
        <w:t>Sónia Novais</w:t>
      </w:r>
      <w:r w:rsidRPr="005C427E">
        <w:rPr>
          <w:rFonts w:cstheme="minorHAnsi"/>
          <w:lang w:val="en-US"/>
        </w:rPr>
        <w:t xml:space="preserve">** </w:t>
      </w:r>
    </w:p>
    <w:p w14:paraId="0149D2BA" w14:textId="7EDFA24D" w:rsidR="00224C39" w:rsidRPr="00DC6289" w:rsidRDefault="00224C39" w:rsidP="00224C39">
      <w:pPr>
        <w:spacing w:after="120" w:line="240" w:lineRule="auto"/>
        <w:ind w:left="-170" w:right="-170"/>
        <w:rPr>
          <w:rFonts w:cstheme="minorHAnsi"/>
          <w:sz w:val="20"/>
          <w:szCs w:val="20"/>
          <w:lang w:val="en-US"/>
        </w:rPr>
      </w:pPr>
    </w:p>
    <w:p w14:paraId="2A996F15" w14:textId="77777777" w:rsidR="00224C39" w:rsidRPr="005C427E" w:rsidRDefault="00224C39" w:rsidP="00224C39">
      <w:pPr>
        <w:spacing w:after="0" w:line="240" w:lineRule="auto"/>
        <w:ind w:left="-170" w:right="-170"/>
        <w:jc w:val="both"/>
        <w:rPr>
          <w:rFonts w:ascii="Calibri" w:hAnsi="Calibri" w:cs="Calibri"/>
          <w:b/>
          <w:sz w:val="20"/>
          <w:szCs w:val="20"/>
          <w:lang w:val="en-US"/>
        </w:rPr>
      </w:pPr>
      <w:r w:rsidRPr="005C427E">
        <w:rPr>
          <w:rFonts w:ascii="Calibri" w:hAnsi="Calibri" w:cs="Calibri"/>
          <w:b/>
          <w:sz w:val="20"/>
          <w:szCs w:val="20"/>
          <w:lang w:val="en-US"/>
        </w:rPr>
        <w:t>ABSTRACT</w:t>
      </w:r>
    </w:p>
    <w:p w14:paraId="5B4753AA" w14:textId="3AAFAE07" w:rsidR="00224C39" w:rsidRPr="005C427E" w:rsidRDefault="00224C39" w:rsidP="00224C39">
      <w:pPr>
        <w:spacing w:after="0" w:line="240" w:lineRule="auto"/>
        <w:ind w:left="-170" w:right="-170"/>
        <w:jc w:val="both"/>
        <w:rPr>
          <w:rFonts w:eastAsia="Arial" w:cstheme="minorHAnsi"/>
          <w:sz w:val="20"/>
          <w:szCs w:val="20"/>
          <w:lang w:val="en-US"/>
        </w:rPr>
      </w:pPr>
      <w:r w:rsidRPr="006A6F7F">
        <w:rPr>
          <w:rFonts w:eastAsia="Arial" w:cstheme="minorHAnsi"/>
          <w:b/>
          <w:bCs/>
          <w:sz w:val="20"/>
          <w:szCs w:val="20"/>
          <w:lang w:val="en-US"/>
        </w:rPr>
        <w:t>Background</w:t>
      </w:r>
      <w:r w:rsidRPr="005C427E">
        <w:rPr>
          <w:rFonts w:eastAsia="Arial" w:cstheme="minorHAnsi"/>
          <w:sz w:val="20"/>
          <w:szCs w:val="20"/>
          <w:lang w:val="en-US"/>
        </w:rPr>
        <w:t xml:space="preserve">: the risk factors for surgical site infection (SSI) after Knee Replacement Arthroplasty have an impact on the safety and quality of life of the person in the perioperative situation and on increased costs for healthcare units. It appears that this topic is mostly studied in conjunction with the risk factors for SSI after hip arthroplasty. It is essential to approach it in isolation, to create risk identification tools that allow identifying the people most vulnerable to surgical site infections in this surgery. </w:t>
      </w:r>
      <w:r w:rsidRPr="006A6F7F">
        <w:rPr>
          <w:rFonts w:eastAsia="Arial" w:cstheme="minorHAnsi"/>
          <w:b/>
          <w:bCs/>
          <w:sz w:val="20"/>
          <w:szCs w:val="20"/>
          <w:lang w:val="en-US"/>
        </w:rPr>
        <w:t>Objectives</w:t>
      </w:r>
      <w:r w:rsidRPr="005C427E">
        <w:rPr>
          <w:rFonts w:eastAsia="Arial" w:cstheme="minorHAnsi"/>
          <w:sz w:val="20"/>
          <w:szCs w:val="20"/>
          <w:lang w:val="en-US"/>
        </w:rPr>
        <w:t xml:space="preserve">: to map the evidence on the risk factors for SSI in people undergoing Knee Replacement Arthroplasty. </w:t>
      </w:r>
      <w:r w:rsidRPr="006A6F7F">
        <w:rPr>
          <w:rFonts w:eastAsia="Arial" w:cstheme="minorHAnsi"/>
          <w:b/>
          <w:bCs/>
          <w:sz w:val="20"/>
          <w:szCs w:val="20"/>
          <w:lang w:val="en-US"/>
        </w:rPr>
        <w:t>Methodology</w:t>
      </w:r>
      <w:r w:rsidRPr="005C427E">
        <w:rPr>
          <w:rFonts w:eastAsia="Arial" w:cstheme="minorHAnsi"/>
          <w:sz w:val="20"/>
          <w:szCs w:val="20"/>
          <w:lang w:val="en-US"/>
        </w:rPr>
        <w:t xml:space="preserve">: scoping review guided by the Joanna Briggs Institute methodology. Time limit applied from 2018 to 2024, based on a review identified on this topic. </w:t>
      </w:r>
      <w:r w:rsidRPr="006A6F7F">
        <w:rPr>
          <w:rFonts w:eastAsia="Arial" w:cstheme="minorHAnsi"/>
          <w:b/>
          <w:bCs/>
          <w:sz w:val="20"/>
          <w:szCs w:val="20"/>
          <w:lang w:val="en-US"/>
        </w:rPr>
        <w:t>Results</w:t>
      </w:r>
      <w:r w:rsidRPr="005C427E">
        <w:rPr>
          <w:rFonts w:eastAsia="Arial" w:cstheme="minorHAnsi"/>
          <w:sz w:val="20"/>
          <w:szCs w:val="20"/>
          <w:lang w:val="en-US"/>
        </w:rPr>
        <w:t xml:space="preserve">: 27 articles were included in the review, and modifiable and non-modifiable risk factors in the perioperative period were identified. The advanced skills of the specialist nurse to minimize/eliminate the risk of SSI are fundamental, especially in modifiable risk factors. </w:t>
      </w:r>
      <w:r w:rsidRPr="006A6F7F">
        <w:rPr>
          <w:rFonts w:eastAsia="Arial" w:cstheme="minorHAnsi"/>
          <w:b/>
          <w:bCs/>
          <w:sz w:val="20"/>
          <w:szCs w:val="20"/>
          <w:lang w:val="en-US"/>
        </w:rPr>
        <w:t>Conclusion</w:t>
      </w:r>
      <w:r w:rsidRPr="005C427E">
        <w:rPr>
          <w:rFonts w:eastAsia="Arial" w:cstheme="minorHAnsi"/>
          <w:sz w:val="20"/>
          <w:szCs w:val="20"/>
          <w:lang w:val="en-US"/>
        </w:rPr>
        <w:t>: risk factors are present in the perioperative period, some being intrinsic to the person themselves and others resulting from the practices of health professionals themselves, putting surgical safety at risk.</w:t>
      </w:r>
    </w:p>
    <w:p w14:paraId="5A619532" w14:textId="6B7BFD7B" w:rsidR="00224C39" w:rsidRPr="005C427E" w:rsidRDefault="006A6F7F" w:rsidP="00224C39">
      <w:pPr>
        <w:spacing w:after="0" w:line="240" w:lineRule="auto"/>
        <w:ind w:left="-170" w:right="-170"/>
        <w:jc w:val="both"/>
        <w:rPr>
          <w:rFonts w:eastAsia="Arial" w:cstheme="minorHAnsi"/>
          <w:sz w:val="20"/>
          <w:szCs w:val="20"/>
          <w:lang w:val="en-US"/>
        </w:rPr>
      </w:pPr>
      <w:r w:rsidRPr="001C0E1E">
        <w:rPr>
          <w:rFonts w:ascii="Calibri" w:hAnsi="Calibri" w:cs="Calibri"/>
          <w:b/>
          <w:bCs/>
          <w:noProof/>
          <w:sz w:val="20"/>
          <w:szCs w:val="20"/>
          <w:shd w:val="clear" w:color="auto" w:fill="FFFFFF"/>
          <w:lang w:val="en"/>
        </w:rPr>
        <mc:AlternateContent>
          <mc:Choice Requires="wps">
            <w:drawing>
              <wp:anchor distT="45720" distB="45720" distL="114300" distR="114300" simplePos="0" relativeHeight="251659264" behindDoc="0" locked="0" layoutInCell="1" allowOverlap="1" wp14:anchorId="6076FDBF" wp14:editId="0C140CA1">
                <wp:simplePos x="0" y="0"/>
                <wp:positionH relativeFrom="column">
                  <wp:posOffset>-228600</wp:posOffset>
                </wp:positionH>
                <wp:positionV relativeFrom="paragraph">
                  <wp:posOffset>208280</wp:posOffset>
                </wp:positionV>
                <wp:extent cx="1428750" cy="5667375"/>
                <wp:effectExtent l="0" t="0" r="0" b="952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5667375"/>
                        </a:xfrm>
                        <a:prstGeom prst="rect">
                          <a:avLst/>
                        </a:prstGeom>
                        <a:solidFill>
                          <a:srgbClr val="FFFFFF"/>
                        </a:solidFill>
                        <a:ln w="9525">
                          <a:noFill/>
                          <a:miter lim="800000"/>
                          <a:headEnd/>
                          <a:tailEnd/>
                        </a:ln>
                      </wps:spPr>
                      <wps:txbx>
                        <w:txbxContent>
                          <w:p w14:paraId="54B0D978" w14:textId="77777777" w:rsidR="00224C39" w:rsidRPr="008D22E6" w:rsidRDefault="00224C39" w:rsidP="00224C39">
                            <w:pPr>
                              <w:pBdr>
                                <w:right w:val="single" w:sz="24" w:space="4" w:color="A6A6A6" w:themeColor="background1" w:themeShade="A6"/>
                              </w:pBdr>
                              <w:spacing w:after="0" w:line="240" w:lineRule="auto"/>
                              <w:jc w:val="both"/>
                              <w:rPr>
                                <w:sz w:val="12"/>
                                <w:szCs w:val="12"/>
                              </w:rPr>
                            </w:pPr>
                            <w:r w:rsidRPr="00D33B5B">
                              <w:rPr>
                                <w:sz w:val="12"/>
                                <w:szCs w:val="12"/>
                              </w:rPr>
                              <w:t>*</w:t>
                            </w:r>
                            <w:proofErr w:type="spellStart"/>
                            <w:r>
                              <w:rPr>
                                <w:sz w:val="12"/>
                                <w:szCs w:val="12"/>
                              </w:rPr>
                              <w:t>MSc</w:t>
                            </w:r>
                            <w:proofErr w:type="spellEnd"/>
                            <w:r w:rsidRPr="00CD273F">
                              <w:rPr>
                                <w:sz w:val="12"/>
                                <w:szCs w:val="12"/>
                              </w:rPr>
                              <w:t xml:space="preserve">., Unidade Local de Saúde </w:t>
                            </w:r>
                            <w:r>
                              <w:rPr>
                                <w:sz w:val="12"/>
                                <w:szCs w:val="12"/>
                              </w:rPr>
                              <w:t xml:space="preserve">Centro Hospitalar e Universitário </w:t>
                            </w:r>
                            <w:r w:rsidRPr="00CD273F">
                              <w:rPr>
                                <w:sz w:val="12"/>
                                <w:szCs w:val="12"/>
                              </w:rPr>
                              <w:t xml:space="preserve">de Coimbra, Portugal – </w:t>
                            </w:r>
                            <w:r>
                              <w:rPr>
                                <w:sz w:val="12"/>
                                <w:szCs w:val="12"/>
                                <w:lang w:val="en-GB"/>
                              </w:rPr>
                              <w:fldChar w:fldCharType="begin"/>
                            </w:r>
                            <w:r w:rsidRPr="005C427E">
                              <w:rPr>
                                <w:sz w:val="12"/>
                                <w:szCs w:val="12"/>
                              </w:rPr>
                              <w:instrText>HYPERLINK "https://orcid.org/0000-0002-6572-9252</w:instrText>
                            </w:r>
                          </w:p>
                          <w:p w14:paraId="1F93A68A" w14:textId="77777777" w:rsidR="00224C39" w:rsidRPr="00946EF3" w:rsidRDefault="00224C39" w:rsidP="00224C39">
                            <w:pPr>
                              <w:pBdr>
                                <w:right w:val="single" w:sz="24" w:space="4" w:color="A6A6A6" w:themeColor="background1" w:themeShade="A6"/>
                              </w:pBdr>
                              <w:spacing w:after="0" w:line="240" w:lineRule="auto"/>
                              <w:jc w:val="both"/>
                              <w:rPr>
                                <w:rStyle w:val="Hiperligao"/>
                                <w:sz w:val="12"/>
                                <w:szCs w:val="12"/>
                              </w:rPr>
                            </w:pPr>
                            <w:r w:rsidRPr="005C427E">
                              <w:rPr>
                                <w:sz w:val="12"/>
                                <w:szCs w:val="12"/>
                              </w:rPr>
                              <w:instrText>"</w:instrText>
                            </w:r>
                            <w:r>
                              <w:rPr>
                                <w:sz w:val="12"/>
                                <w:szCs w:val="12"/>
                                <w:lang w:val="en-GB"/>
                              </w:rPr>
                            </w:r>
                            <w:r>
                              <w:rPr>
                                <w:sz w:val="12"/>
                                <w:szCs w:val="12"/>
                                <w:lang w:val="en-GB"/>
                              </w:rPr>
                              <w:fldChar w:fldCharType="separate"/>
                            </w:r>
                            <w:r w:rsidRPr="005C427E">
                              <w:rPr>
                                <w:rStyle w:val="Hiperligao"/>
                                <w:sz w:val="12"/>
                                <w:szCs w:val="12"/>
                              </w:rPr>
                              <w:t>https://orcid.org/0000-0002-6572-9252</w:t>
                            </w:r>
                          </w:p>
                          <w:p w14:paraId="7E68BCB8" w14:textId="77777777" w:rsidR="00224C39" w:rsidRPr="00CD273F" w:rsidRDefault="00224C39" w:rsidP="00224C39">
                            <w:pPr>
                              <w:pBdr>
                                <w:right w:val="single" w:sz="24" w:space="4" w:color="A6A6A6" w:themeColor="background1" w:themeShade="A6"/>
                              </w:pBdr>
                              <w:spacing w:after="0" w:line="240" w:lineRule="auto"/>
                              <w:jc w:val="both"/>
                              <w:rPr>
                                <w:sz w:val="12"/>
                                <w:szCs w:val="12"/>
                              </w:rPr>
                            </w:pPr>
                            <w:r>
                              <w:rPr>
                                <w:sz w:val="12"/>
                                <w:szCs w:val="12"/>
                                <w:lang w:val="en-GB"/>
                              </w:rPr>
                              <w:fldChar w:fldCharType="end"/>
                            </w:r>
                            <w:r w:rsidRPr="00CD273F">
                              <w:rPr>
                                <w:sz w:val="12"/>
                                <w:szCs w:val="12"/>
                              </w:rPr>
                              <w:t>**</w:t>
                            </w:r>
                            <w:r>
                              <w:rPr>
                                <w:sz w:val="12"/>
                                <w:szCs w:val="12"/>
                              </w:rPr>
                              <w:t>PhD</w:t>
                            </w:r>
                            <w:r w:rsidRPr="00CD273F">
                              <w:rPr>
                                <w:sz w:val="12"/>
                                <w:szCs w:val="12"/>
                              </w:rPr>
                              <w:t xml:space="preserve">., </w:t>
                            </w:r>
                            <w:r>
                              <w:rPr>
                                <w:sz w:val="12"/>
                                <w:szCs w:val="12"/>
                              </w:rPr>
                              <w:t>Professora Adjunta na Escola Superior de Saúde Norte da Cruz Vermelha Portuguesa</w:t>
                            </w:r>
                            <w:r w:rsidRPr="00CD273F">
                              <w:rPr>
                                <w:sz w:val="12"/>
                                <w:szCs w:val="12"/>
                              </w:rPr>
                              <w:t xml:space="preserve"> Portugal</w:t>
                            </w:r>
                            <w:r w:rsidRPr="00CD273F">
                              <w:rPr>
                                <w:rFonts w:ascii="Calibri" w:hAnsi="Calibri" w:cs="Calibri"/>
                                <w:sz w:val="12"/>
                                <w:szCs w:val="12"/>
                                <w:shd w:val="clear" w:color="auto" w:fill="FFFFFF"/>
                              </w:rPr>
                              <w:t xml:space="preserve"> - </w:t>
                            </w:r>
                            <w:hyperlink r:id="rId8" w:history="1">
                              <w:r w:rsidRPr="005C427E">
                                <w:rPr>
                                  <w:rStyle w:val="Hiperligao"/>
                                  <w:sz w:val="12"/>
                                  <w:szCs w:val="12"/>
                                </w:rPr>
                                <w:t>https://orcid.org/0000-0002-4328-3755</w:t>
                              </w:r>
                            </w:hyperlink>
                          </w:p>
                          <w:p w14:paraId="131CCEB7" w14:textId="77777777" w:rsidR="00224C39" w:rsidRDefault="00224C39" w:rsidP="00224C39">
                            <w:pPr>
                              <w:pBdr>
                                <w:right w:val="single" w:sz="24" w:space="4" w:color="A6A6A6" w:themeColor="background1" w:themeShade="A6"/>
                              </w:pBdr>
                              <w:spacing w:after="0" w:line="240" w:lineRule="auto"/>
                              <w:rPr>
                                <w:sz w:val="12"/>
                                <w:szCs w:val="12"/>
                              </w:rPr>
                            </w:pPr>
                          </w:p>
                          <w:p w14:paraId="5332FD4C" w14:textId="77777777" w:rsidR="00224C39" w:rsidRDefault="00224C39" w:rsidP="00224C39">
                            <w:pPr>
                              <w:pBdr>
                                <w:right w:val="single" w:sz="24" w:space="4" w:color="A6A6A6" w:themeColor="background1" w:themeShade="A6"/>
                              </w:pBdr>
                              <w:spacing w:after="0" w:line="240" w:lineRule="auto"/>
                              <w:rPr>
                                <w:sz w:val="12"/>
                                <w:szCs w:val="12"/>
                              </w:rPr>
                            </w:pPr>
                          </w:p>
                          <w:p w14:paraId="662C3D00" w14:textId="77777777" w:rsidR="00224C39" w:rsidRDefault="00224C39" w:rsidP="00224C39">
                            <w:pPr>
                              <w:pBdr>
                                <w:right w:val="single" w:sz="24" w:space="4" w:color="A6A6A6" w:themeColor="background1" w:themeShade="A6"/>
                              </w:pBdr>
                              <w:spacing w:after="0" w:line="240" w:lineRule="auto"/>
                              <w:rPr>
                                <w:sz w:val="12"/>
                                <w:szCs w:val="12"/>
                              </w:rPr>
                            </w:pPr>
                          </w:p>
                          <w:p w14:paraId="4A2D1486" w14:textId="77777777" w:rsidR="00224C39" w:rsidRDefault="00224C39" w:rsidP="00224C39">
                            <w:pPr>
                              <w:pBdr>
                                <w:right w:val="single" w:sz="24" w:space="4" w:color="A6A6A6" w:themeColor="background1" w:themeShade="A6"/>
                              </w:pBdr>
                              <w:spacing w:after="0" w:line="240" w:lineRule="auto"/>
                              <w:rPr>
                                <w:sz w:val="12"/>
                                <w:szCs w:val="12"/>
                              </w:rPr>
                            </w:pPr>
                          </w:p>
                          <w:p w14:paraId="3E792542" w14:textId="77777777" w:rsidR="00224C39" w:rsidRDefault="00224C39" w:rsidP="00224C39">
                            <w:pPr>
                              <w:pBdr>
                                <w:right w:val="single" w:sz="24" w:space="4" w:color="A6A6A6" w:themeColor="background1" w:themeShade="A6"/>
                              </w:pBdr>
                              <w:spacing w:after="0" w:line="240" w:lineRule="auto"/>
                              <w:rPr>
                                <w:sz w:val="12"/>
                                <w:szCs w:val="12"/>
                              </w:rPr>
                            </w:pPr>
                          </w:p>
                          <w:p w14:paraId="3DB4230F" w14:textId="77777777" w:rsidR="006A6F7F" w:rsidRDefault="006A6F7F" w:rsidP="00224C39">
                            <w:pPr>
                              <w:pBdr>
                                <w:right w:val="single" w:sz="24" w:space="4" w:color="A6A6A6" w:themeColor="background1" w:themeShade="A6"/>
                              </w:pBdr>
                              <w:spacing w:after="0" w:line="240" w:lineRule="auto"/>
                              <w:rPr>
                                <w:sz w:val="12"/>
                                <w:szCs w:val="12"/>
                              </w:rPr>
                            </w:pPr>
                          </w:p>
                          <w:p w14:paraId="489720E1" w14:textId="77777777" w:rsidR="00224C39" w:rsidRDefault="00224C39" w:rsidP="00224C39">
                            <w:pPr>
                              <w:pBdr>
                                <w:right w:val="single" w:sz="24" w:space="4" w:color="A6A6A6" w:themeColor="background1" w:themeShade="A6"/>
                              </w:pBdr>
                              <w:spacing w:after="0" w:line="240" w:lineRule="auto"/>
                              <w:rPr>
                                <w:sz w:val="12"/>
                                <w:szCs w:val="12"/>
                              </w:rPr>
                            </w:pPr>
                          </w:p>
                          <w:p w14:paraId="319F3368" w14:textId="77777777" w:rsidR="00FA7FFA" w:rsidRDefault="00FA7FFA" w:rsidP="00224C39">
                            <w:pPr>
                              <w:pBdr>
                                <w:right w:val="single" w:sz="24" w:space="4" w:color="A6A6A6" w:themeColor="background1" w:themeShade="A6"/>
                              </w:pBdr>
                              <w:spacing w:after="0" w:line="240" w:lineRule="auto"/>
                              <w:rPr>
                                <w:sz w:val="12"/>
                                <w:szCs w:val="12"/>
                              </w:rPr>
                            </w:pPr>
                          </w:p>
                          <w:p w14:paraId="37685125" w14:textId="77777777" w:rsidR="00FA7FFA" w:rsidRDefault="00FA7FFA" w:rsidP="00224C39">
                            <w:pPr>
                              <w:pBdr>
                                <w:right w:val="single" w:sz="24" w:space="4" w:color="A6A6A6" w:themeColor="background1" w:themeShade="A6"/>
                              </w:pBdr>
                              <w:spacing w:after="0" w:line="240" w:lineRule="auto"/>
                              <w:rPr>
                                <w:sz w:val="12"/>
                                <w:szCs w:val="12"/>
                              </w:rPr>
                            </w:pPr>
                          </w:p>
                          <w:p w14:paraId="68D531A6" w14:textId="77777777" w:rsidR="00224C39" w:rsidRDefault="00224C39" w:rsidP="00224C39">
                            <w:pPr>
                              <w:pBdr>
                                <w:right w:val="single" w:sz="24" w:space="4" w:color="A6A6A6" w:themeColor="background1" w:themeShade="A6"/>
                              </w:pBdr>
                              <w:spacing w:after="0" w:line="240" w:lineRule="auto"/>
                              <w:rPr>
                                <w:sz w:val="12"/>
                                <w:szCs w:val="12"/>
                              </w:rPr>
                            </w:pPr>
                          </w:p>
                          <w:p w14:paraId="55DEAC4F" w14:textId="77777777" w:rsidR="00224C39" w:rsidRDefault="00224C39" w:rsidP="00224C39">
                            <w:pPr>
                              <w:pBdr>
                                <w:right w:val="single" w:sz="24" w:space="4" w:color="A6A6A6" w:themeColor="background1" w:themeShade="A6"/>
                              </w:pBdr>
                              <w:spacing w:after="0" w:line="240" w:lineRule="auto"/>
                              <w:rPr>
                                <w:sz w:val="12"/>
                                <w:szCs w:val="12"/>
                              </w:rPr>
                            </w:pPr>
                          </w:p>
                          <w:p w14:paraId="5A8527F7" w14:textId="77777777" w:rsidR="00224C39" w:rsidRDefault="00224C39" w:rsidP="00224C39">
                            <w:pPr>
                              <w:pBdr>
                                <w:right w:val="single" w:sz="24" w:space="4" w:color="A6A6A6" w:themeColor="background1" w:themeShade="A6"/>
                              </w:pBdr>
                              <w:spacing w:after="0" w:line="240" w:lineRule="auto"/>
                              <w:rPr>
                                <w:sz w:val="12"/>
                                <w:szCs w:val="12"/>
                              </w:rPr>
                            </w:pPr>
                          </w:p>
                          <w:p w14:paraId="415B23B2" w14:textId="77777777" w:rsidR="00224C39" w:rsidRPr="00CD273F" w:rsidRDefault="00224C39" w:rsidP="00224C39">
                            <w:pPr>
                              <w:pBdr>
                                <w:right w:val="single" w:sz="24" w:space="4" w:color="A6A6A6" w:themeColor="background1" w:themeShade="A6"/>
                              </w:pBdr>
                              <w:spacing w:after="0" w:line="240" w:lineRule="auto"/>
                              <w:rPr>
                                <w:rFonts w:cstheme="minorHAnsi"/>
                                <w:b/>
                                <w:sz w:val="12"/>
                                <w:szCs w:val="12"/>
                              </w:rPr>
                            </w:pPr>
                            <w:r w:rsidRPr="00CD273F">
                              <w:rPr>
                                <w:rFonts w:cstheme="minorHAnsi"/>
                                <w:b/>
                                <w:sz w:val="12"/>
                                <w:szCs w:val="12"/>
                              </w:rPr>
                              <w:t>Autor de correspondência:</w:t>
                            </w:r>
                          </w:p>
                          <w:p w14:paraId="60752BE5" w14:textId="77777777" w:rsidR="00224C39" w:rsidRPr="00CD273F" w:rsidRDefault="00224C39" w:rsidP="00224C39">
                            <w:pPr>
                              <w:pBdr>
                                <w:right w:val="single" w:sz="24" w:space="4" w:color="A6A6A6" w:themeColor="background1" w:themeShade="A6"/>
                              </w:pBdr>
                              <w:spacing w:after="0" w:line="240" w:lineRule="auto"/>
                              <w:rPr>
                                <w:rFonts w:cstheme="minorHAnsi"/>
                                <w:sz w:val="12"/>
                                <w:szCs w:val="12"/>
                              </w:rPr>
                            </w:pPr>
                            <w:r>
                              <w:rPr>
                                <w:sz w:val="12"/>
                                <w:szCs w:val="12"/>
                              </w:rPr>
                              <w:t>Luciana Forte</w:t>
                            </w:r>
                          </w:p>
                          <w:p w14:paraId="0A21CDEE" w14:textId="77777777" w:rsidR="00224C39" w:rsidRPr="00CD273F" w:rsidRDefault="00224C39" w:rsidP="00224C39">
                            <w:pPr>
                              <w:pBdr>
                                <w:right w:val="single" w:sz="24" w:space="4" w:color="A6A6A6" w:themeColor="background1" w:themeShade="A6"/>
                              </w:pBdr>
                              <w:spacing w:after="0" w:line="240" w:lineRule="auto"/>
                              <w:rPr>
                                <w:rFonts w:cstheme="minorHAnsi"/>
                                <w:sz w:val="12"/>
                                <w:szCs w:val="12"/>
                              </w:rPr>
                            </w:pPr>
                            <w:hyperlink r:id="rId9" w:history="1">
                              <w:r w:rsidRPr="005C427E">
                                <w:rPr>
                                  <w:rStyle w:val="Hiperligao"/>
                                  <w:sz w:val="12"/>
                                  <w:szCs w:val="12"/>
                                </w:rPr>
                                <w:t>lucianaforte@gmail.com</w:t>
                              </w:r>
                            </w:hyperlink>
                          </w:p>
                          <w:p w14:paraId="4DE5DFDA" w14:textId="77777777" w:rsidR="00224C39" w:rsidRPr="00BE44B4" w:rsidRDefault="00224C39" w:rsidP="00224C39">
                            <w:pPr>
                              <w:pBdr>
                                <w:right w:val="single" w:sz="24" w:space="4" w:color="A6A6A6" w:themeColor="background1" w:themeShade="A6"/>
                              </w:pBdr>
                              <w:spacing w:after="0" w:line="240" w:lineRule="auto"/>
                              <w:rPr>
                                <w:rFonts w:cstheme="minorHAnsi"/>
                                <w:sz w:val="6"/>
                                <w:szCs w:val="6"/>
                              </w:rPr>
                            </w:pPr>
                          </w:p>
                          <w:p w14:paraId="06C99779"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7EC4B84C"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5BDF366A"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1D3775A0"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73A82AED"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1583C1F5"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7AB49138"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7C33FA8A"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711F813B"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1BE10F37" w14:textId="77777777" w:rsidR="00FA7FFA" w:rsidRDefault="00FA7FFA" w:rsidP="00224C39">
                            <w:pPr>
                              <w:pBdr>
                                <w:right w:val="single" w:sz="24" w:space="4" w:color="A6A6A6" w:themeColor="background1" w:themeShade="A6"/>
                              </w:pBdr>
                              <w:spacing w:after="0" w:line="240" w:lineRule="auto"/>
                              <w:rPr>
                                <w:rFonts w:cstheme="minorHAnsi"/>
                                <w:sz w:val="12"/>
                                <w:szCs w:val="12"/>
                              </w:rPr>
                            </w:pPr>
                          </w:p>
                          <w:p w14:paraId="02C9A509"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0CCCF97A" w14:textId="77777777" w:rsidR="00224C39" w:rsidRPr="00836438" w:rsidRDefault="00224C39" w:rsidP="00224C39">
                            <w:pPr>
                              <w:pBdr>
                                <w:right w:val="single" w:sz="24" w:space="4" w:color="A6A6A6" w:themeColor="background1" w:themeShade="A6"/>
                              </w:pBdr>
                              <w:spacing w:after="0" w:line="240" w:lineRule="auto"/>
                              <w:rPr>
                                <w:rFonts w:cstheme="minorHAnsi"/>
                                <w:sz w:val="12"/>
                                <w:szCs w:val="12"/>
                              </w:rPr>
                            </w:pPr>
                          </w:p>
                          <w:p w14:paraId="2E8B816F" w14:textId="77777777" w:rsidR="00224C39" w:rsidRPr="000A59B9" w:rsidRDefault="00224C39" w:rsidP="00224C39">
                            <w:pPr>
                              <w:pBdr>
                                <w:right w:val="single" w:sz="24" w:space="4" w:color="A6A6A6" w:themeColor="background1" w:themeShade="A6"/>
                              </w:pBdr>
                              <w:spacing w:after="0" w:line="240" w:lineRule="auto"/>
                              <w:jc w:val="both"/>
                              <w:rPr>
                                <w:rFonts w:cstheme="minorHAnsi"/>
                                <w:b/>
                                <w:sz w:val="12"/>
                                <w:szCs w:val="12"/>
                              </w:rPr>
                            </w:pPr>
                            <w:bookmarkStart w:id="0" w:name="_Hlk150510432"/>
                            <w:r w:rsidRPr="000A59B9">
                              <w:rPr>
                                <w:rFonts w:cstheme="minorHAnsi"/>
                                <w:b/>
                                <w:sz w:val="12"/>
                                <w:szCs w:val="12"/>
                              </w:rPr>
                              <w:t>Como referenciar:</w:t>
                            </w:r>
                          </w:p>
                          <w:p w14:paraId="38F14E11" w14:textId="212640F4" w:rsidR="00224C39" w:rsidRPr="00CD273F" w:rsidRDefault="00224C39" w:rsidP="00224C39">
                            <w:pPr>
                              <w:pBdr>
                                <w:right w:val="single" w:sz="24" w:space="4" w:color="A6A6A6" w:themeColor="background1" w:themeShade="A6"/>
                              </w:pBdr>
                              <w:spacing w:after="0" w:line="240" w:lineRule="auto"/>
                              <w:jc w:val="both"/>
                              <w:rPr>
                                <w:rFonts w:cstheme="minorHAnsi"/>
                                <w:sz w:val="12"/>
                                <w:szCs w:val="12"/>
                              </w:rPr>
                            </w:pPr>
                            <w:proofErr w:type="spellStart"/>
                            <w:r>
                              <w:rPr>
                                <w:rFonts w:cstheme="minorHAnsi"/>
                                <w:sz w:val="12"/>
                                <w:szCs w:val="12"/>
                              </w:rPr>
                              <w:t>Foorte</w:t>
                            </w:r>
                            <w:proofErr w:type="spellEnd"/>
                            <w:r>
                              <w:rPr>
                                <w:rFonts w:cstheme="minorHAnsi"/>
                                <w:sz w:val="12"/>
                                <w:szCs w:val="12"/>
                              </w:rPr>
                              <w:t xml:space="preserve">, L., </w:t>
                            </w:r>
                            <w:r w:rsidRPr="00CD273F">
                              <w:rPr>
                                <w:rFonts w:cstheme="minorHAnsi"/>
                                <w:sz w:val="12"/>
                                <w:szCs w:val="12"/>
                              </w:rPr>
                              <w:t xml:space="preserve">&amp; </w:t>
                            </w:r>
                            <w:r>
                              <w:rPr>
                                <w:rFonts w:cstheme="minorHAnsi"/>
                                <w:sz w:val="12"/>
                                <w:szCs w:val="12"/>
                              </w:rPr>
                              <w:t>Novais, S</w:t>
                            </w:r>
                            <w:r w:rsidRPr="00CD273F">
                              <w:rPr>
                                <w:rFonts w:cstheme="minorHAnsi"/>
                                <w:sz w:val="12"/>
                                <w:szCs w:val="12"/>
                              </w:rPr>
                              <w:t>.</w:t>
                            </w:r>
                            <w:r>
                              <w:rPr>
                                <w:rFonts w:cstheme="minorHAnsi"/>
                                <w:sz w:val="12"/>
                                <w:szCs w:val="12"/>
                              </w:rPr>
                              <w:t xml:space="preserve"> </w:t>
                            </w:r>
                            <w:r w:rsidRPr="00CD273F">
                              <w:rPr>
                                <w:rFonts w:cstheme="minorHAnsi"/>
                                <w:sz w:val="12"/>
                                <w:szCs w:val="12"/>
                              </w:rPr>
                              <w:t>(2025).</w:t>
                            </w:r>
                            <w:r>
                              <w:rPr>
                                <w:rFonts w:cstheme="minorHAnsi"/>
                                <w:sz w:val="12"/>
                                <w:szCs w:val="12"/>
                              </w:rPr>
                              <w:t xml:space="preserve"> </w:t>
                            </w:r>
                            <w:r w:rsidRPr="00E75A67">
                              <w:rPr>
                                <w:rFonts w:cstheme="minorHAnsi"/>
                                <w:bCs/>
                                <w:sz w:val="12"/>
                                <w:szCs w:val="12"/>
                              </w:rPr>
                              <w:t xml:space="preserve">Fatores de risco de ILC após </w:t>
                            </w:r>
                            <w:proofErr w:type="spellStart"/>
                            <w:r w:rsidRPr="00E75A67">
                              <w:rPr>
                                <w:rFonts w:cstheme="minorHAnsi"/>
                                <w:bCs/>
                                <w:sz w:val="12"/>
                                <w:szCs w:val="12"/>
                              </w:rPr>
                              <w:t>Artroplastia</w:t>
                            </w:r>
                            <w:proofErr w:type="spellEnd"/>
                            <w:r w:rsidRPr="00E75A67">
                              <w:rPr>
                                <w:rFonts w:cstheme="minorHAnsi"/>
                                <w:bCs/>
                                <w:sz w:val="12"/>
                                <w:szCs w:val="12"/>
                              </w:rPr>
                              <w:t xml:space="preserve"> do Joelho – </w:t>
                            </w:r>
                            <w:proofErr w:type="spellStart"/>
                            <w:r w:rsidRPr="00E75A67">
                              <w:rPr>
                                <w:rFonts w:cstheme="minorHAnsi"/>
                                <w:bCs/>
                                <w:sz w:val="12"/>
                                <w:szCs w:val="12"/>
                              </w:rPr>
                              <w:t>scoping</w:t>
                            </w:r>
                            <w:proofErr w:type="spellEnd"/>
                            <w:r w:rsidRPr="00E75A67">
                              <w:rPr>
                                <w:rFonts w:cstheme="minorHAnsi"/>
                                <w:bCs/>
                                <w:sz w:val="12"/>
                                <w:szCs w:val="12"/>
                              </w:rPr>
                              <w:t xml:space="preserve"> </w:t>
                            </w:r>
                            <w:proofErr w:type="spellStart"/>
                            <w:r w:rsidRPr="00E75A67">
                              <w:rPr>
                                <w:rFonts w:cstheme="minorHAnsi"/>
                                <w:bCs/>
                                <w:sz w:val="12"/>
                                <w:szCs w:val="12"/>
                              </w:rPr>
                              <w:t>review</w:t>
                            </w:r>
                            <w:proofErr w:type="spellEnd"/>
                            <w:r>
                              <w:rPr>
                                <w:rFonts w:cstheme="minorHAnsi"/>
                                <w:bCs/>
                                <w:sz w:val="12"/>
                                <w:szCs w:val="12"/>
                              </w:rPr>
                              <w:t>.</w:t>
                            </w:r>
                            <w:r>
                              <w:rPr>
                                <w:rFonts w:cstheme="minorHAnsi"/>
                                <w:sz w:val="12"/>
                                <w:szCs w:val="12"/>
                              </w:rPr>
                              <w:t xml:space="preserve"> </w:t>
                            </w:r>
                            <w:r w:rsidRPr="00CD273F">
                              <w:rPr>
                                <w:rFonts w:cstheme="minorHAnsi"/>
                                <w:i/>
                                <w:sz w:val="12"/>
                                <w:szCs w:val="12"/>
                              </w:rPr>
                              <w:t>Revista de Investigação &amp; Inovação em Saúde,</w:t>
                            </w:r>
                            <w:r w:rsidRPr="00CD273F">
                              <w:rPr>
                                <w:rFonts w:cstheme="minorHAnsi"/>
                                <w:sz w:val="12"/>
                                <w:szCs w:val="12"/>
                              </w:rPr>
                              <w:t xml:space="preserve"> </w:t>
                            </w:r>
                            <w:r w:rsidRPr="00DC6A86">
                              <w:rPr>
                                <w:rFonts w:cstheme="minorHAnsi"/>
                                <w:i/>
                                <w:iCs/>
                                <w:sz w:val="12"/>
                                <w:szCs w:val="12"/>
                              </w:rPr>
                              <w:t>8</w:t>
                            </w:r>
                            <w:r w:rsidRPr="00CD273F">
                              <w:rPr>
                                <w:rFonts w:cstheme="minorHAnsi"/>
                                <w:sz w:val="12"/>
                                <w:szCs w:val="12"/>
                              </w:rPr>
                              <w:t>(</w:t>
                            </w:r>
                            <w:r>
                              <w:rPr>
                                <w:rFonts w:cstheme="minorHAnsi"/>
                                <w:sz w:val="12"/>
                                <w:szCs w:val="12"/>
                              </w:rPr>
                              <w:t>1</w:t>
                            </w:r>
                            <w:r w:rsidRPr="00CD273F">
                              <w:rPr>
                                <w:rFonts w:cstheme="minorHAnsi"/>
                                <w:sz w:val="12"/>
                                <w:szCs w:val="12"/>
                              </w:rPr>
                              <w:t>), 1-1</w:t>
                            </w:r>
                            <w:r w:rsidR="00FF2338">
                              <w:rPr>
                                <w:rFonts w:cstheme="minorHAnsi"/>
                                <w:sz w:val="12"/>
                                <w:szCs w:val="12"/>
                              </w:rPr>
                              <w:t>5</w:t>
                            </w:r>
                            <w:r w:rsidRPr="00CD273F">
                              <w:rPr>
                                <w:rFonts w:cstheme="minorHAnsi"/>
                                <w:sz w:val="12"/>
                                <w:szCs w:val="12"/>
                              </w:rPr>
                              <w:t>.</w:t>
                            </w:r>
                          </w:p>
                          <w:p w14:paraId="1C4CA919" w14:textId="77777777" w:rsidR="00224C39" w:rsidRPr="00414691" w:rsidRDefault="00224C39" w:rsidP="00224C39">
                            <w:pPr>
                              <w:pBdr>
                                <w:right w:val="single" w:sz="24" w:space="4" w:color="A6A6A6" w:themeColor="background1" w:themeShade="A6"/>
                              </w:pBdr>
                              <w:spacing w:after="0" w:line="240" w:lineRule="auto"/>
                              <w:jc w:val="both"/>
                              <w:rPr>
                                <w:rStyle w:val="Hiperligao"/>
                                <w:rFonts w:cstheme="minorHAnsi"/>
                                <w:sz w:val="12"/>
                                <w:szCs w:val="12"/>
                              </w:rPr>
                            </w:pPr>
                            <w:hyperlink r:id="rId10" w:history="1">
                              <w:r w:rsidRPr="00946EF3">
                                <w:rPr>
                                  <w:rStyle w:val="Hiperligao"/>
                                  <w:rFonts w:cstheme="minorHAnsi"/>
                                  <w:sz w:val="12"/>
                                  <w:szCs w:val="12"/>
                                </w:rPr>
                                <w:t>https://doi.org/10.37914/riis.v8i1.404</w:t>
                              </w:r>
                            </w:hyperlink>
                          </w:p>
                          <w:bookmarkEnd w:id="0"/>
                          <w:p w14:paraId="343A216D" w14:textId="77777777" w:rsidR="00224C39" w:rsidRDefault="00224C39" w:rsidP="00224C39">
                            <w:pPr>
                              <w:pBdr>
                                <w:right w:val="single" w:sz="24" w:space="4" w:color="A6A6A6" w:themeColor="background1" w:themeShade="A6"/>
                              </w:pBdr>
                              <w:spacing w:line="240" w:lineRule="auto"/>
                              <w:rPr>
                                <w:rFonts w:cstheme="minorHAnsi"/>
                                <w:color w:val="FF0000"/>
                                <w:sz w:val="6"/>
                                <w:szCs w:val="6"/>
                              </w:rPr>
                            </w:pPr>
                          </w:p>
                          <w:p w14:paraId="35212565" w14:textId="77777777" w:rsidR="00224C39" w:rsidRDefault="00224C39" w:rsidP="00224C39">
                            <w:pPr>
                              <w:pBdr>
                                <w:right w:val="single" w:sz="24" w:space="4" w:color="A6A6A6" w:themeColor="background1" w:themeShade="A6"/>
                              </w:pBdr>
                              <w:spacing w:line="240" w:lineRule="auto"/>
                              <w:rPr>
                                <w:rFonts w:cstheme="minorHAnsi"/>
                                <w:color w:val="FF0000"/>
                                <w:sz w:val="6"/>
                                <w:szCs w:val="6"/>
                              </w:rPr>
                            </w:pPr>
                          </w:p>
                          <w:p w14:paraId="5CD16D1C" w14:textId="77777777" w:rsidR="006A6F7F" w:rsidRDefault="006A6F7F" w:rsidP="00224C39">
                            <w:pPr>
                              <w:pBdr>
                                <w:right w:val="single" w:sz="24" w:space="4" w:color="A6A6A6" w:themeColor="background1" w:themeShade="A6"/>
                              </w:pBdr>
                              <w:spacing w:line="240" w:lineRule="auto"/>
                              <w:rPr>
                                <w:rFonts w:cstheme="minorHAnsi"/>
                                <w:color w:val="FF0000"/>
                                <w:sz w:val="6"/>
                                <w:szCs w:val="6"/>
                              </w:rPr>
                            </w:pPr>
                          </w:p>
                          <w:p w14:paraId="53A46284" w14:textId="77777777" w:rsidR="00224C39" w:rsidRDefault="00224C39" w:rsidP="00224C39">
                            <w:pPr>
                              <w:pBdr>
                                <w:right w:val="single" w:sz="24" w:space="4" w:color="A6A6A6" w:themeColor="background1" w:themeShade="A6"/>
                              </w:pBdr>
                              <w:spacing w:line="240" w:lineRule="auto"/>
                              <w:rPr>
                                <w:rFonts w:cstheme="minorHAnsi"/>
                                <w:color w:val="FF0000"/>
                                <w:sz w:val="6"/>
                                <w:szCs w:val="6"/>
                              </w:rPr>
                            </w:pPr>
                          </w:p>
                          <w:p w14:paraId="64643F16" w14:textId="77777777" w:rsidR="00224C39" w:rsidRDefault="00224C39" w:rsidP="00224C39">
                            <w:pPr>
                              <w:pBdr>
                                <w:right w:val="single" w:sz="24" w:space="4" w:color="A6A6A6" w:themeColor="background1" w:themeShade="A6"/>
                              </w:pBdr>
                              <w:spacing w:line="240" w:lineRule="auto"/>
                              <w:rPr>
                                <w:rFonts w:cstheme="minorHAnsi"/>
                                <w:color w:val="FF0000"/>
                                <w:sz w:val="6"/>
                                <w:szCs w:val="6"/>
                              </w:rPr>
                            </w:pPr>
                          </w:p>
                          <w:p w14:paraId="4C5E561F" w14:textId="77777777" w:rsidR="00FA7FFA" w:rsidRDefault="00FA7FFA" w:rsidP="00224C39">
                            <w:pPr>
                              <w:pBdr>
                                <w:right w:val="single" w:sz="24" w:space="4" w:color="A6A6A6" w:themeColor="background1" w:themeShade="A6"/>
                              </w:pBdr>
                              <w:spacing w:line="240" w:lineRule="auto"/>
                              <w:rPr>
                                <w:rFonts w:cstheme="minorHAnsi"/>
                                <w:color w:val="FF0000"/>
                                <w:sz w:val="4"/>
                                <w:szCs w:val="4"/>
                              </w:rPr>
                            </w:pPr>
                          </w:p>
                          <w:p w14:paraId="09C61279" w14:textId="77777777" w:rsidR="006A6F7F" w:rsidRPr="00FA7FFA" w:rsidRDefault="006A6F7F" w:rsidP="00224C39">
                            <w:pPr>
                              <w:pBdr>
                                <w:right w:val="single" w:sz="24" w:space="4" w:color="A6A6A6" w:themeColor="background1" w:themeShade="A6"/>
                              </w:pBdr>
                              <w:spacing w:line="240" w:lineRule="auto"/>
                              <w:rPr>
                                <w:rFonts w:cstheme="minorHAnsi"/>
                                <w:color w:val="FF0000"/>
                                <w:sz w:val="4"/>
                                <w:szCs w:val="4"/>
                              </w:rPr>
                            </w:pPr>
                          </w:p>
                          <w:p w14:paraId="74D526BA" w14:textId="77777777" w:rsidR="00224C39" w:rsidRDefault="00224C39" w:rsidP="00224C39">
                            <w:pPr>
                              <w:pBdr>
                                <w:right w:val="single" w:sz="24" w:space="4" w:color="A6A6A6" w:themeColor="background1" w:themeShade="A6"/>
                              </w:pBdr>
                              <w:spacing w:line="240" w:lineRule="auto"/>
                              <w:rPr>
                                <w:rFonts w:cstheme="minorHAnsi"/>
                                <w:color w:val="FF0000"/>
                                <w:sz w:val="6"/>
                                <w:szCs w:val="6"/>
                              </w:rPr>
                            </w:pPr>
                          </w:p>
                          <w:p w14:paraId="303B9173" w14:textId="77777777" w:rsidR="00224C39" w:rsidRDefault="00224C39" w:rsidP="00224C39">
                            <w:pPr>
                              <w:pBdr>
                                <w:right w:val="single" w:sz="24" w:space="4" w:color="A6A6A6" w:themeColor="background1" w:themeShade="A6"/>
                              </w:pBdr>
                              <w:spacing w:line="240" w:lineRule="auto"/>
                              <w:rPr>
                                <w:rFonts w:cstheme="minorHAnsi"/>
                                <w:color w:val="FF0000"/>
                                <w:sz w:val="6"/>
                                <w:szCs w:val="6"/>
                              </w:rPr>
                            </w:pPr>
                          </w:p>
                          <w:p w14:paraId="2C07E232" w14:textId="77777777" w:rsidR="006A6F7F" w:rsidRPr="00BE44B4" w:rsidRDefault="006A6F7F" w:rsidP="00224C39">
                            <w:pPr>
                              <w:pBdr>
                                <w:right w:val="single" w:sz="24" w:space="4" w:color="A6A6A6" w:themeColor="background1" w:themeShade="A6"/>
                              </w:pBdr>
                              <w:spacing w:line="240" w:lineRule="auto"/>
                              <w:rPr>
                                <w:rFonts w:cstheme="minorHAnsi"/>
                                <w:color w:val="FF0000"/>
                                <w:sz w:val="6"/>
                                <w:szCs w:val="6"/>
                              </w:rPr>
                            </w:pPr>
                          </w:p>
                          <w:p w14:paraId="7847C78F" w14:textId="77777777" w:rsidR="00224C39" w:rsidRDefault="00224C39" w:rsidP="00224C39">
                            <w:pPr>
                              <w:pBdr>
                                <w:right w:val="single" w:sz="24" w:space="4" w:color="A6A6A6"/>
                              </w:pBdr>
                              <w:spacing w:after="0" w:line="240" w:lineRule="auto"/>
                              <w:jc w:val="right"/>
                              <w:rPr>
                                <w:rFonts w:cs="Calibri"/>
                                <w:sz w:val="12"/>
                                <w:szCs w:val="12"/>
                              </w:rPr>
                            </w:pPr>
                            <w:r>
                              <w:rPr>
                                <w:rFonts w:cs="Calibri"/>
                                <w:sz w:val="12"/>
                                <w:szCs w:val="12"/>
                              </w:rPr>
                              <w:t>Recebido: 21/05/2024</w:t>
                            </w:r>
                          </w:p>
                          <w:p w14:paraId="74BFB088" w14:textId="77777777" w:rsidR="00224C39" w:rsidRDefault="00224C39" w:rsidP="00224C39">
                            <w:pPr>
                              <w:pBdr>
                                <w:right w:val="single" w:sz="24" w:space="4" w:color="A6A6A6" w:themeColor="background1" w:themeShade="A6"/>
                              </w:pBdr>
                              <w:jc w:val="right"/>
                            </w:pPr>
                            <w:r>
                              <w:rPr>
                                <w:rFonts w:cs="Calibri"/>
                                <w:sz w:val="12"/>
                                <w:szCs w:val="12"/>
                              </w:rPr>
                              <w:t>Aceite: 26/03/2025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6FDBF" id="_x0000_t202" coordsize="21600,21600" o:spt="202" path="m,l,21600r21600,l21600,xe">
                <v:stroke joinstyle="miter"/>
                <v:path gradientshapeok="t" o:connecttype="rect"/>
              </v:shapetype>
              <v:shape id="Caixa de Texto 2" o:spid="_x0000_s1026" type="#_x0000_t202" style="position:absolute;left:0;text-align:left;margin-left:-18pt;margin-top:16.4pt;width:112.5pt;height:44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" stroked="f">
                <v:textbox>
                  <w:txbxContent>
                    <w:p w14:paraId="54B0D978" w14:textId="77777777" w:rsidR="00224C39" w:rsidRPr="008D22E6" w:rsidRDefault="00224C39" w:rsidP="00224C39">
                      <w:pPr>
                        <w:pBdr>
                          <w:right w:val="single" w:sz="24" w:space="4" w:color="A6A6A6" w:themeColor="background1" w:themeShade="A6"/>
                        </w:pBdr>
                        <w:spacing w:after="0" w:line="240" w:lineRule="auto"/>
                        <w:jc w:val="both"/>
                        <w:rPr>
                          <w:sz w:val="12"/>
                          <w:szCs w:val="12"/>
                        </w:rPr>
                      </w:pPr>
                      <w:r w:rsidRPr="00D33B5B">
                        <w:rPr>
                          <w:sz w:val="12"/>
                          <w:szCs w:val="12"/>
                        </w:rPr>
                        <w:t>*</w:t>
                      </w:r>
                      <w:proofErr w:type="spellStart"/>
                      <w:r>
                        <w:rPr>
                          <w:sz w:val="12"/>
                          <w:szCs w:val="12"/>
                        </w:rPr>
                        <w:t>MSc</w:t>
                      </w:r>
                      <w:proofErr w:type="spellEnd"/>
                      <w:r w:rsidRPr="00CD273F">
                        <w:rPr>
                          <w:sz w:val="12"/>
                          <w:szCs w:val="12"/>
                        </w:rPr>
                        <w:t xml:space="preserve">., Unidade Local de Saúde </w:t>
                      </w:r>
                      <w:r>
                        <w:rPr>
                          <w:sz w:val="12"/>
                          <w:szCs w:val="12"/>
                        </w:rPr>
                        <w:t xml:space="preserve">Centro Hospitalar e Universitário </w:t>
                      </w:r>
                      <w:r w:rsidRPr="00CD273F">
                        <w:rPr>
                          <w:sz w:val="12"/>
                          <w:szCs w:val="12"/>
                        </w:rPr>
                        <w:t xml:space="preserve">de Coimbra, Portugal – </w:t>
                      </w:r>
                      <w:r>
                        <w:rPr>
                          <w:sz w:val="12"/>
                          <w:szCs w:val="12"/>
                          <w:lang w:val="en-GB"/>
                        </w:rPr>
                        <w:fldChar w:fldCharType="begin"/>
                      </w:r>
                      <w:r w:rsidRPr="005C427E">
                        <w:rPr>
                          <w:sz w:val="12"/>
                          <w:szCs w:val="12"/>
                        </w:rPr>
                        <w:instrText>HYPERLINK "https://orcid.org/0000-0002-6572-9252</w:instrText>
                      </w:r>
                    </w:p>
                    <w:p w14:paraId="1F93A68A" w14:textId="77777777" w:rsidR="00224C39" w:rsidRPr="00946EF3" w:rsidRDefault="00224C39" w:rsidP="00224C39">
                      <w:pPr>
                        <w:pBdr>
                          <w:right w:val="single" w:sz="24" w:space="4" w:color="A6A6A6" w:themeColor="background1" w:themeShade="A6"/>
                        </w:pBdr>
                        <w:spacing w:after="0" w:line="240" w:lineRule="auto"/>
                        <w:jc w:val="both"/>
                        <w:rPr>
                          <w:rStyle w:val="Hiperligao"/>
                          <w:sz w:val="12"/>
                          <w:szCs w:val="12"/>
                        </w:rPr>
                      </w:pPr>
                      <w:r w:rsidRPr="005C427E">
                        <w:rPr>
                          <w:sz w:val="12"/>
                          <w:szCs w:val="12"/>
                        </w:rPr>
                        <w:instrText>"</w:instrText>
                      </w:r>
                      <w:r>
                        <w:rPr>
                          <w:sz w:val="12"/>
                          <w:szCs w:val="12"/>
                          <w:lang w:val="en-GB"/>
                        </w:rPr>
                      </w:r>
                      <w:r>
                        <w:rPr>
                          <w:sz w:val="12"/>
                          <w:szCs w:val="12"/>
                          <w:lang w:val="en-GB"/>
                        </w:rPr>
                        <w:fldChar w:fldCharType="separate"/>
                      </w:r>
                      <w:r w:rsidRPr="005C427E">
                        <w:rPr>
                          <w:rStyle w:val="Hiperligao"/>
                          <w:sz w:val="12"/>
                          <w:szCs w:val="12"/>
                        </w:rPr>
                        <w:t>https://orcid.org/0000-0002-6572-9252</w:t>
                      </w:r>
                    </w:p>
                    <w:p w14:paraId="7E68BCB8" w14:textId="77777777" w:rsidR="00224C39" w:rsidRPr="00CD273F" w:rsidRDefault="00224C39" w:rsidP="00224C39">
                      <w:pPr>
                        <w:pBdr>
                          <w:right w:val="single" w:sz="24" w:space="4" w:color="A6A6A6" w:themeColor="background1" w:themeShade="A6"/>
                        </w:pBdr>
                        <w:spacing w:after="0" w:line="240" w:lineRule="auto"/>
                        <w:jc w:val="both"/>
                        <w:rPr>
                          <w:sz w:val="12"/>
                          <w:szCs w:val="12"/>
                        </w:rPr>
                      </w:pPr>
                      <w:r>
                        <w:rPr>
                          <w:sz w:val="12"/>
                          <w:szCs w:val="12"/>
                          <w:lang w:val="en-GB"/>
                        </w:rPr>
                        <w:fldChar w:fldCharType="end"/>
                      </w:r>
                      <w:r w:rsidRPr="00CD273F">
                        <w:rPr>
                          <w:sz w:val="12"/>
                          <w:szCs w:val="12"/>
                        </w:rPr>
                        <w:t>**</w:t>
                      </w:r>
                      <w:r>
                        <w:rPr>
                          <w:sz w:val="12"/>
                          <w:szCs w:val="12"/>
                        </w:rPr>
                        <w:t>PhD</w:t>
                      </w:r>
                      <w:r w:rsidRPr="00CD273F">
                        <w:rPr>
                          <w:sz w:val="12"/>
                          <w:szCs w:val="12"/>
                        </w:rPr>
                        <w:t xml:space="preserve">., </w:t>
                      </w:r>
                      <w:r>
                        <w:rPr>
                          <w:sz w:val="12"/>
                          <w:szCs w:val="12"/>
                        </w:rPr>
                        <w:t>Professora Adjunta na Escola Superior de Saúde Norte da Cruz Vermelha Portuguesa</w:t>
                      </w:r>
                      <w:r w:rsidRPr="00CD273F">
                        <w:rPr>
                          <w:sz w:val="12"/>
                          <w:szCs w:val="12"/>
                        </w:rPr>
                        <w:t xml:space="preserve"> Portugal</w:t>
                      </w:r>
                      <w:r w:rsidRPr="00CD273F">
                        <w:rPr>
                          <w:rFonts w:ascii="Calibri" w:hAnsi="Calibri" w:cs="Calibri"/>
                          <w:sz w:val="12"/>
                          <w:szCs w:val="12"/>
                          <w:shd w:val="clear" w:color="auto" w:fill="FFFFFF"/>
                        </w:rPr>
                        <w:t xml:space="preserve"> - </w:t>
                      </w:r>
                      <w:hyperlink r:id="rId11" w:history="1">
                        <w:r w:rsidRPr="005C427E">
                          <w:rPr>
                            <w:rStyle w:val="Hiperligao"/>
                            <w:sz w:val="12"/>
                            <w:szCs w:val="12"/>
                          </w:rPr>
                          <w:t>https://orcid.org/0000-0002-4328-3755</w:t>
                        </w:r>
                      </w:hyperlink>
                    </w:p>
                    <w:p w14:paraId="131CCEB7" w14:textId="77777777" w:rsidR="00224C39" w:rsidRDefault="00224C39" w:rsidP="00224C39">
                      <w:pPr>
                        <w:pBdr>
                          <w:right w:val="single" w:sz="24" w:space="4" w:color="A6A6A6" w:themeColor="background1" w:themeShade="A6"/>
                        </w:pBdr>
                        <w:spacing w:after="0" w:line="240" w:lineRule="auto"/>
                        <w:rPr>
                          <w:sz w:val="12"/>
                          <w:szCs w:val="12"/>
                        </w:rPr>
                      </w:pPr>
                    </w:p>
                    <w:p w14:paraId="5332FD4C" w14:textId="77777777" w:rsidR="00224C39" w:rsidRDefault="00224C39" w:rsidP="00224C39">
                      <w:pPr>
                        <w:pBdr>
                          <w:right w:val="single" w:sz="24" w:space="4" w:color="A6A6A6" w:themeColor="background1" w:themeShade="A6"/>
                        </w:pBdr>
                        <w:spacing w:after="0" w:line="240" w:lineRule="auto"/>
                        <w:rPr>
                          <w:sz w:val="12"/>
                          <w:szCs w:val="12"/>
                        </w:rPr>
                      </w:pPr>
                    </w:p>
                    <w:p w14:paraId="662C3D00" w14:textId="77777777" w:rsidR="00224C39" w:rsidRDefault="00224C39" w:rsidP="00224C39">
                      <w:pPr>
                        <w:pBdr>
                          <w:right w:val="single" w:sz="24" w:space="4" w:color="A6A6A6" w:themeColor="background1" w:themeShade="A6"/>
                        </w:pBdr>
                        <w:spacing w:after="0" w:line="240" w:lineRule="auto"/>
                        <w:rPr>
                          <w:sz w:val="12"/>
                          <w:szCs w:val="12"/>
                        </w:rPr>
                      </w:pPr>
                    </w:p>
                    <w:p w14:paraId="4A2D1486" w14:textId="77777777" w:rsidR="00224C39" w:rsidRDefault="00224C39" w:rsidP="00224C39">
                      <w:pPr>
                        <w:pBdr>
                          <w:right w:val="single" w:sz="24" w:space="4" w:color="A6A6A6" w:themeColor="background1" w:themeShade="A6"/>
                        </w:pBdr>
                        <w:spacing w:after="0" w:line="240" w:lineRule="auto"/>
                        <w:rPr>
                          <w:sz w:val="12"/>
                          <w:szCs w:val="12"/>
                        </w:rPr>
                      </w:pPr>
                    </w:p>
                    <w:p w14:paraId="3E792542" w14:textId="77777777" w:rsidR="00224C39" w:rsidRDefault="00224C39" w:rsidP="00224C39">
                      <w:pPr>
                        <w:pBdr>
                          <w:right w:val="single" w:sz="24" w:space="4" w:color="A6A6A6" w:themeColor="background1" w:themeShade="A6"/>
                        </w:pBdr>
                        <w:spacing w:after="0" w:line="240" w:lineRule="auto"/>
                        <w:rPr>
                          <w:sz w:val="12"/>
                          <w:szCs w:val="12"/>
                        </w:rPr>
                      </w:pPr>
                    </w:p>
                    <w:p w14:paraId="3DB4230F" w14:textId="77777777" w:rsidR="006A6F7F" w:rsidRDefault="006A6F7F" w:rsidP="00224C39">
                      <w:pPr>
                        <w:pBdr>
                          <w:right w:val="single" w:sz="24" w:space="4" w:color="A6A6A6" w:themeColor="background1" w:themeShade="A6"/>
                        </w:pBdr>
                        <w:spacing w:after="0" w:line="240" w:lineRule="auto"/>
                        <w:rPr>
                          <w:sz w:val="12"/>
                          <w:szCs w:val="12"/>
                        </w:rPr>
                      </w:pPr>
                    </w:p>
                    <w:p w14:paraId="489720E1" w14:textId="77777777" w:rsidR="00224C39" w:rsidRDefault="00224C39" w:rsidP="00224C39">
                      <w:pPr>
                        <w:pBdr>
                          <w:right w:val="single" w:sz="24" w:space="4" w:color="A6A6A6" w:themeColor="background1" w:themeShade="A6"/>
                        </w:pBdr>
                        <w:spacing w:after="0" w:line="240" w:lineRule="auto"/>
                        <w:rPr>
                          <w:sz w:val="12"/>
                          <w:szCs w:val="12"/>
                        </w:rPr>
                      </w:pPr>
                    </w:p>
                    <w:p w14:paraId="319F3368" w14:textId="77777777" w:rsidR="00FA7FFA" w:rsidRDefault="00FA7FFA" w:rsidP="00224C39">
                      <w:pPr>
                        <w:pBdr>
                          <w:right w:val="single" w:sz="24" w:space="4" w:color="A6A6A6" w:themeColor="background1" w:themeShade="A6"/>
                        </w:pBdr>
                        <w:spacing w:after="0" w:line="240" w:lineRule="auto"/>
                        <w:rPr>
                          <w:sz w:val="12"/>
                          <w:szCs w:val="12"/>
                        </w:rPr>
                      </w:pPr>
                    </w:p>
                    <w:p w14:paraId="37685125" w14:textId="77777777" w:rsidR="00FA7FFA" w:rsidRDefault="00FA7FFA" w:rsidP="00224C39">
                      <w:pPr>
                        <w:pBdr>
                          <w:right w:val="single" w:sz="24" w:space="4" w:color="A6A6A6" w:themeColor="background1" w:themeShade="A6"/>
                        </w:pBdr>
                        <w:spacing w:after="0" w:line="240" w:lineRule="auto"/>
                        <w:rPr>
                          <w:sz w:val="12"/>
                          <w:szCs w:val="12"/>
                        </w:rPr>
                      </w:pPr>
                    </w:p>
                    <w:p w14:paraId="68D531A6" w14:textId="77777777" w:rsidR="00224C39" w:rsidRDefault="00224C39" w:rsidP="00224C39">
                      <w:pPr>
                        <w:pBdr>
                          <w:right w:val="single" w:sz="24" w:space="4" w:color="A6A6A6" w:themeColor="background1" w:themeShade="A6"/>
                        </w:pBdr>
                        <w:spacing w:after="0" w:line="240" w:lineRule="auto"/>
                        <w:rPr>
                          <w:sz w:val="12"/>
                          <w:szCs w:val="12"/>
                        </w:rPr>
                      </w:pPr>
                    </w:p>
                    <w:p w14:paraId="55DEAC4F" w14:textId="77777777" w:rsidR="00224C39" w:rsidRDefault="00224C39" w:rsidP="00224C39">
                      <w:pPr>
                        <w:pBdr>
                          <w:right w:val="single" w:sz="24" w:space="4" w:color="A6A6A6" w:themeColor="background1" w:themeShade="A6"/>
                        </w:pBdr>
                        <w:spacing w:after="0" w:line="240" w:lineRule="auto"/>
                        <w:rPr>
                          <w:sz w:val="12"/>
                          <w:szCs w:val="12"/>
                        </w:rPr>
                      </w:pPr>
                    </w:p>
                    <w:p w14:paraId="5A8527F7" w14:textId="77777777" w:rsidR="00224C39" w:rsidRDefault="00224C39" w:rsidP="00224C39">
                      <w:pPr>
                        <w:pBdr>
                          <w:right w:val="single" w:sz="24" w:space="4" w:color="A6A6A6" w:themeColor="background1" w:themeShade="A6"/>
                        </w:pBdr>
                        <w:spacing w:after="0" w:line="240" w:lineRule="auto"/>
                        <w:rPr>
                          <w:sz w:val="12"/>
                          <w:szCs w:val="12"/>
                        </w:rPr>
                      </w:pPr>
                    </w:p>
                    <w:p w14:paraId="415B23B2" w14:textId="77777777" w:rsidR="00224C39" w:rsidRPr="00CD273F" w:rsidRDefault="00224C39" w:rsidP="00224C39">
                      <w:pPr>
                        <w:pBdr>
                          <w:right w:val="single" w:sz="24" w:space="4" w:color="A6A6A6" w:themeColor="background1" w:themeShade="A6"/>
                        </w:pBdr>
                        <w:spacing w:after="0" w:line="240" w:lineRule="auto"/>
                        <w:rPr>
                          <w:rFonts w:cstheme="minorHAnsi"/>
                          <w:b/>
                          <w:sz w:val="12"/>
                          <w:szCs w:val="12"/>
                        </w:rPr>
                      </w:pPr>
                      <w:r w:rsidRPr="00CD273F">
                        <w:rPr>
                          <w:rFonts w:cstheme="minorHAnsi"/>
                          <w:b/>
                          <w:sz w:val="12"/>
                          <w:szCs w:val="12"/>
                        </w:rPr>
                        <w:t>Autor de correspondência:</w:t>
                      </w:r>
                    </w:p>
                    <w:p w14:paraId="60752BE5" w14:textId="77777777" w:rsidR="00224C39" w:rsidRPr="00CD273F" w:rsidRDefault="00224C39" w:rsidP="00224C39">
                      <w:pPr>
                        <w:pBdr>
                          <w:right w:val="single" w:sz="24" w:space="4" w:color="A6A6A6" w:themeColor="background1" w:themeShade="A6"/>
                        </w:pBdr>
                        <w:spacing w:after="0" w:line="240" w:lineRule="auto"/>
                        <w:rPr>
                          <w:rFonts w:cstheme="minorHAnsi"/>
                          <w:sz w:val="12"/>
                          <w:szCs w:val="12"/>
                        </w:rPr>
                      </w:pPr>
                      <w:r>
                        <w:rPr>
                          <w:sz w:val="12"/>
                          <w:szCs w:val="12"/>
                        </w:rPr>
                        <w:t>Luciana Forte</w:t>
                      </w:r>
                    </w:p>
                    <w:p w14:paraId="0A21CDEE" w14:textId="77777777" w:rsidR="00224C39" w:rsidRPr="00CD273F" w:rsidRDefault="00224C39" w:rsidP="00224C39">
                      <w:pPr>
                        <w:pBdr>
                          <w:right w:val="single" w:sz="24" w:space="4" w:color="A6A6A6" w:themeColor="background1" w:themeShade="A6"/>
                        </w:pBdr>
                        <w:spacing w:after="0" w:line="240" w:lineRule="auto"/>
                        <w:rPr>
                          <w:rFonts w:cstheme="minorHAnsi"/>
                          <w:sz w:val="12"/>
                          <w:szCs w:val="12"/>
                        </w:rPr>
                      </w:pPr>
                      <w:hyperlink r:id="rId12" w:history="1">
                        <w:r w:rsidRPr="005C427E">
                          <w:rPr>
                            <w:rStyle w:val="Hiperligao"/>
                            <w:sz w:val="12"/>
                            <w:szCs w:val="12"/>
                          </w:rPr>
                          <w:t>lucianaforte@gmail.com</w:t>
                        </w:r>
                      </w:hyperlink>
                    </w:p>
                    <w:p w14:paraId="4DE5DFDA" w14:textId="77777777" w:rsidR="00224C39" w:rsidRPr="00BE44B4" w:rsidRDefault="00224C39" w:rsidP="00224C39">
                      <w:pPr>
                        <w:pBdr>
                          <w:right w:val="single" w:sz="24" w:space="4" w:color="A6A6A6" w:themeColor="background1" w:themeShade="A6"/>
                        </w:pBdr>
                        <w:spacing w:after="0" w:line="240" w:lineRule="auto"/>
                        <w:rPr>
                          <w:rFonts w:cstheme="minorHAnsi"/>
                          <w:sz w:val="6"/>
                          <w:szCs w:val="6"/>
                        </w:rPr>
                      </w:pPr>
                    </w:p>
                    <w:p w14:paraId="06C99779"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7EC4B84C"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5BDF366A"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1D3775A0"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73A82AED"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1583C1F5"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7AB49138"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7C33FA8A"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711F813B"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1BE10F37" w14:textId="77777777" w:rsidR="00FA7FFA" w:rsidRDefault="00FA7FFA" w:rsidP="00224C39">
                      <w:pPr>
                        <w:pBdr>
                          <w:right w:val="single" w:sz="24" w:space="4" w:color="A6A6A6" w:themeColor="background1" w:themeShade="A6"/>
                        </w:pBdr>
                        <w:spacing w:after="0" w:line="240" w:lineRule="auto"/>
                        <w:rPr>
                          <w:rFonts w:cstheme="minorHAnsi"/>
                          <w:sz w:val="12"/>
                          <w:szCs w:val="12"/>
                        </w:rPr>
                      </w:pPr>
                    </w:p>
                    <w:p w14:paraId="02C9A509" w14:textId="77777777" w:rsidR="00224C39" w:rsidRDefault="00224C39" w:rsidP="00224C39">
                      <w:pPr>
                        <w:pBdr>
                          <w:right w:val="single" w:sz="24" w:space="4" w:color="A6A6A6" w:themeColor="background1" w:themeShade="A6"/>
                        </w:pBdr>
                        <w:spacing w:after="0" w:line="240" w:lineRule="auto"/>
                        <w:rPr>
                          <w:rFonts w:cstheme="minorHAnsi"/>
                          <w:sz w:val="12"/>
                          <w:szCs w:val="12"/>
                        </w:rPr>
                      </w:pPr>
                    </w:p>
                    <w:p w14:paraId="0CCCF97A" w14:textId="77777777" w:rsidR="00224C39" w:rsidRPr="00836438" w:rsidRDefault="00224C39" w:rsidP="00224C39">
                      <w:pPr>
                        <w:pBdr>
                          <w:right w:val="single" w:sz="24" w:space="4" w:color="A6A6A6" w:themeColor="background1" w:themeShade="A6"/>
                        </w:pBdr>
                        <w:spacing w:after="0" w:line="240" w:lineRule="auto"/>
                        <w:rPr>
                          <w:rFonts w:cstheme="minorHAnsi"/>
                          <w:sz w:val="12"/>
                          <w:szCs w:val="12"/>
                        </w:rPr>
                      </w:pPr>
                    </w:p>
                    <w:p w14:paraId="2E8B816F" w14:textId="77777777" w:rsidR="00224C39" w:rsidRPr="000A59B9" w:rsidRDefault="00224C39" w:rsidP="00224C39">
                      <w:pPr>
                        <w:pBdr>
                          <w:right w:val="single" w:sz="24" w:space="4" w:color="A6A6A6" w:themeColor="background1" w:themeShade="A6"/>
                        </w:pBdr>
                        <w:spacing w:after="0" w:line="240" w:lineRule="auto"/>
                        <w:jc w:val="both"/>
                        <w:rPr>
                          <w:rFonts w:cstheme="minorHAnsi"/>
                          <w:b/>
                          <w:sz w:val="12"/>
                          <w:szCs w:val="12"/>
                        </w:rPr>
                      </w:pPr>
                      <w:bookmarkStart w:id="1" w:name="_Hlk150510432"/>
                      <w:r w:rsidRPr="000A59B9">
                        <w:rPr>
                          <w:rFonts w:cstheme="minorHAnsi"/>
                          <w:b/>
                          <w:sz w:val="12"/>
                          <w:szCs w:val="12"/>
                        </w:rPr>
                        <w:t>Como referenciar:</w:t>
                      </w:r>
                    </w:p>
                    <w:p w14:paraId="38F14E11" w14:textId="212640F4" w:rsidR="00224C39" w:rsidRPr="00CD273F" w:rsidRDefault="00224C39" w:rsidP="00224C39">
                      <w:pPr>
                        <w:pBdr>
                          <w:right w:val="single" w:sz="24" w:space="4" w:color="A6A6A6" w:themeColor="background1" w:themeShade="A6"/>
                        </w:pBdr>
                        <w:spacing w:after="0" w:line="240" w:lineRule="auto"/>
                        <w:jc w:val="both"/>
                        <w:rPr>
                          <w:rFonts w:cstheme="minorHAnsi"/>
                          <w:sz w:val="12"/>
                          <w:szCs w:val="12"/>
                        </w:rPr>
                      </w:pPr>
                      <w:proofErr w:type="spellStart"/>
                      <w:r>
                        <w:rPr>
                          <w:rFonts w:cstheme="minorHAnsi"/>
                          <w:sz w:val="12"/>
                          <w:szCs w:val="12"/>
                        </w:rPr>
                        <w:t>Foorte</w:t>
                      </w:r>
                      <w:proofErr w:type="spellEnd"/>
                      <w:r>
                        <w:rPr>
                          <w:rFonts w:cstheme="minorHAnsi"/>
                          <w:sz w:val="12"/>
                          <w:szCs w:val="12"/>
                        </w:rPr>
                        <w:t xml:space="preserve">, L., </w:t>
                      </w:r>
                      <w:r w:rsidRPr="00CD273F">
                        <w:rPr>
                          <w:rFonts w:cstheme="minorHAnsi"/>
                          <w:sz w:val="12"/>
                          <w:szCs w:val="12"/>
                        </w:rPr>
                        <w:t xml:space="preserve">&amp; </w:t>
                      </w:r>
                      <w:r>
                        <w:rPr>
                          <w:rFonts w:cstheme="minorHAnsi"/>
                          <w:sz w:val="12"/>
                          <w:szCs w:val="12"/>
                        </w:rPr>
                        <w:t>Novais, S</w:t>
                      </w:r>
                      <w:r w:rsidRPr="00CD273F">
                        <w:rPr>
                          <w:rFonts w:cstheme="minorHAnsi"/>
                          <w:sz w:val="12"/>
                          <w:szCs w:val="12"/>
                        </w:rPr>
                        <w:t>.</w:t>
                      </w:r>
                      <w:r>
                        <w:rPr>
                          <w:rFonts w:cstheme="minorHAnsi"/>
                          <w:sz w:val="12"/>
                          <w:szCs w:val="12"/>
                        </w:rPr>
                        <w:t xml:space="preserve"> </w:t>
                      </w:r>
                      <w:r w:rsidRPr="00CD273F">
                        <w:rPr>
                          <w:rFonts w:cstheme="minorHAnsi"/>
                          <w:sz w:val="12"/>
                          <w:szCs w:val="12"/>
                        </w:rPr>
                        <w:t>(2025).</w:t>
                      </w:r>
                      <w:r>
                        <w:rPr>
                          <w:rFonts w:cstheme="minorHAnsi"/>
                          <w:sz w:val="12"/>
                          <w:szCs w:val="12"/>
                        </w:rPr>
                        <w:t xml:space="preserve"> </w:t>
                      </w:r>
                      <w:r w:rsidRPr="00E75A67">
                        <w:rPr>
                          <w:rFonts w:cstheme="minorHAnsi"/>
                          <w:bCs/>
                          <w:sz w:val="12"/>
                          <w:szCs w:val="12"/>
                        </w:rPr>
                        <w:t xml:space="preserve">Fatores de risco de ILC após </w:t>
                      </w:r>
                      <w:proofErr w:type="spellStart"/>
                      <w:r w:rsidRPr="00E75A67">
                        <w:rPr>
                          <w:rFonts w:cstheme="minorHAnsi"/>
                          <w:bCs/>
                          <w:sz w:val="12"/>
                          <w:szCs w:val="12"/>
                        </w:rPr>
                        <w:t>Artroplastia</w:t>
                      </w:r>
                      <w:proofErr w:type="spellEnd"/>
                      <w:r w:rsidRPr="00E75A67">
                        <w:rPr>
                          <w:rFonts w:cstheme="minorHAnsi"/>
                          <w:bCs/>
                          <w:sz w:val="12"/>
                          <w:szCs w:val="12"/>
                        </w:rPr>
                        <w:t xml:space="preserve"> do Joelho – </w:t>
                      </w:r>
                      <w:proofErr w:type="spellStart"/>
                      <w:r w:rsidRPr="00E75A67">
                        <w:rPr>
                          <w:rFonts w:cstheme="minorHAnsi"/>
                          <w:bCs/>
                          <w:sz w:val="12"/>
                          <w:szCs w:val="12"/>
                        </w:rPr>
                        <w:t>scoping</w:t>
                      </w:r>
                      <w:proofErr w:type="spellEnd"/>
                      <w:r w:rsidRPr="00E75A67">
                        <w:rPr>
                          <w:rFonts w:cstheme="minorHAnsi"/>
                          <w:bCs/>
                          <w:sz w:val="12"/>
                          <w:szCs w:val="12"/>
                        </w:rPr>
                        <w:t xml:space="preserve"> </w:t>
                      </w:r>
                      <w:proofErr w:type="spellStart"/>
                      <w:r w:rsidRPr="00E75A67">
                        <w:rPr>
                          <w:rFonts w:cstheme="minorHAnsi"/>
                          <w:bCs/>
                          <w:sz w:val="12"/>
                          <w:szCs w:val="12"/>
                        </w:rPr>
                        <w:t>review</w:t>
                      </w:r>
                      <w:proofErr w:type="spellEnd"/>
                      <w:r>
                        <w:rPr>
                          <w:rFonts w:cstheme="minorHAnsi"/>
                          <w:bCs/>
                          <w:sz w:val="12"/>
                          <w:szCs w:val="12"/>
                        </w:rPr>
                        <w:t>.</w:t>
                      </w:r>
                      <w:r>
                        <w:rPr>
                          <w:rFonts w:cstheme="minorHAnsi"/>
                          <w:sz w:val="12"/>
                          <w:szCs w:val="12"/>
                        </w:rPr>
                        <w:t xml:space="preserve"> </w:t>
                      </w:r>
                      <w:r w:rsidRPr="00CD273F">
                        <w:rPr>
                          <w:rFonts w:cstheme="minorHAnsi"/>
                          <w:i/>
                          <w:sz w:val="12"/>
                          <w:szCs w:val="12"/>
                        </w:rPr>
                        <w:t>Revista de Investigação &amp; Inovação em Saúde,</w:t>
                      </w:r>
                      <w:r w:rsidRPr="00CD273F">
                        <w:rPr>
                          <w:rFonts w:cstheme="minorHAnsi"/>
                          <w:sz w:val="12"/>
                          <w:szCs w:val="12"/>
                        </w:rPr>
                        <w:t xml:space="preserve"> </w:t>
                      </w:r>
                      <w:r w:rsidRPr="00DC6A86">
                        <w:rPr>
                          <w:rFonts w:cstheme="minorHAnsi"/>
                          <w:i/>
                          <w:iCs/>
                          <w:sz w:val="12"/>
                          <w:szCs w:val="12"/>
                        </w:rPr>
                        <w:t>8</w:t>
                      </w:r>
                      <w:r w:rsidRPr="00CD273F">
                        <w:rPr>
                          <w:rFonts w:cstheme="minorHAnsi"/>
                          <w:sz w:val="12"/>
                          <w:szCs w:val="12"/>
                        </w:rPr>
                        <w:t>(</w:t>
                      </w:r>
                      <w:r>
                        <w:rPr>
                          <w:rFonts w:cstheme="minorHAnsi"/>
                          <w:sz w:val="12"/>
                          <w:szCs w:val="12"/>
                        </w:rPr>
                        <w:t>1</w:t>
                      </w:r>
                      <w:r w:rsidRPr="00CD273F">
                        <w:rPr>
                          <w:rFonts w:cstheme="minorHAnsi"/>
                          <w:sz w:val="12"/>
                          <w:szCs w:val="12"/>
                        </w:rPr>
                        <w:t>), 1-1</w:t>
                      </w:r>
                      <w:r w:rsidR="00FF2338">
                        <w:rPr>
                          <w:rFonts w:cstheme="minorHAnsi"/>
                          <w:sz w:val="12"/>
                          <w:szCs w:val="12"/>
                        </w:rPr>
                        <w:t>5</w:t>
                      </w:r>
                      <w:r w:rsidRPr="00CD273F">
                        <w:rPr>
                          <w:rFonts w:cstheme="minorHAnsi"/>
                          <w:sz w:val="12"/>
                          <w:szCs w:val="12"/>
                        </w:rPr>
                        <w:t>.</w:t>
                      </w:r>
                    </w:p>
                    <w:p w14:paraId="1C4CA919" w14:textId="77777777" w:rsidR="00224C39" w:rsidRPr="00414691" w:rsidRDefault="00224C39" w:rsidP="00224C39">
                      <w:pPr>
                        <w:pBdr>
                          <w:right w:val="single" w:sz="24" w:space="4" w:color="A6A6A6" w:themeColor="background1" w:themeShade="A6"/>
                        </w:pBdr>
                        <w:spacing w:after="0" w:line="240" w:lineRule="auto"/>
                        <w:jc w:val="both"/>
                        <w:rPr>
                          <w:rStyle w:val="Hiperligao"/>
                          <w:rFonts w:cstheme="minorHAnsi"/>
                          <w:sz w:val="12"/>
                          <w:szCs w:val="12"/>
                        </w:rPr>
                      </w:pPr>
                      <w:hyperlink r:id="rId13" w:history="1">
                        <w:r w:rsidRPr="00946EF3">
                          <w:rPr>
                            <w:rStyle w:val="Hiperligao"/>
                            <w:rFonts w:cstheme="minorHAnsi"/>
                            <w:sz w:val="12"/>
                            <w:szCs w:val="12"/>
                          </w:rPr>
                          <w:t>https://doi.org/10.37914/riis.v8i1.404</w:t>
                        </w:r>
                      </w:hyperlink>
                    </w:p>
                    <w:bookmarkEnd w:id="1"/>
                    <w:p w14:paraId="343A216D" w14:textId="77777777" w:rsidR="00224C39" w:rsidRDefault="00224C39" w:rsidP="00224C39">
                      <w:pPr>
                        <w:pBdr>
                          <w:right w:val="single" w:sz="24" w:space="4" w:color="A6A6A6" w:themeColor="background1" w:themeShade="A6"/>
                        </w:pBdr>
                        <w:spacing w:line="240" w:lineRule="auto"/>
                        <w:rPr>
                          <w:rFonts w:cstheme="minorHAnsi"/>
                          <w:color w:val="FF0000"/>
                          <w:sz w:val="6"/>
                          <w:szCs w:val="6"/>
                        </w:rPr>
                      </w:pPr>
                    </w:p>
                    <w:p w14:paraId="35212565" w14:textId="77777777" w:rsidR="00224C39" w:rsidRDefault="00224C39" w:rsidP="00224C39">
                      <w:pPr>
                        <w:pBdr>
                          <w:right w:val="single" w:sz="24" w:space="4" w:color="A6A6A6" w:themeColor="background1" w:themeShade="A6"/>
                        </w:pBdr>
                        <w:spacing w:line="240" w:lineRule="auto"/>
                        <w:rPr>
                          <w:rFonts w:cstheme="minorHAnsi"/>
                          <w:color w:val="FF0000"/>
                          <w:sz w:val="6"/>
                          <w:szCs w:val="6"/>
                        </w:rPr>
                      </w:pPr>
                    </w:p>
                    <w:p w14:paraId="5CD16D1C" w14:textId="77777777" w:rsidR="006A6F7F" w:rsidRDefault="006A6F7F" w:rsidP="00224C39">
                      <w:pPr>
                        <w:pBdr>
                          <w:right w:val="single" w:sz="24" w:space="4" w:color="A6A6A6" w:themeColor="background1" w:themeShade="A6"/>
                        </w:pBdr>
                        <w:spacing w:line="240" w:lineRule="auto"/>
                        <w:rPr>
                          <w:rFonts w:cstheme="minorHAnsi"/>
                          <w:color w:val="FF0000"/>
                          <w:sz w:val="6"/>
                          <w:szCs w:val="6"/>
                        </w:rPr>
                      </w:pPr>
                    </w:p>
                    <w:p w14:paraId="53A46284" w14:textId="77777777" w:rsidR="00224C39" w:rsidRDefault="00224C39" w:rsidP="00224C39">
                      <w:pPr>
                        <w:pBdr>
                          <w:right w:val="single" w:sz="24" w:space="4" w:color="A6A6A6" w:themeColor="background1" w:themeShade="A6"/>
                        </w:pBdr>
                        <w:spacing w:line="240" w:lineRule="auto"/>
                        <w:rPr>
                          <w:rFonts w:cstheme="minorHAnsi"/>
                          <w:color w:val="FF0000"/>
                          <w:sz w:val="6"/>
                          <w:szCs w:val="6"/>
                        </w:rPr>
                      </w:pPr>
                    </w:p>
                    <w:p w14:paraId="64643F16" w14:textId="77777777" w:rsidR="00224C39" w:rsidRDefault="00224C39" w:rsidP="00224C39">
                      <w:pPr>
                        <w:pBdr>
                          <w:right w:val="single" w:sz="24" w:space="4" w:color="A6A6A6" w:themeColor="background1" w:themeShade="A6"/>
                        </w:pBdr>
                        <w:spacing w:line="240" w:lineRule="auto"/>
                        <w:rPr>
                          <w:rFonts w:cstheme="minorHAnsi"/>
                          <w:color w:val="FF0000"/>
                          <w:sz w:val="6"/>
                          <w:szCs w:val="6"/>
                        </w:rPr>
                      </w:pPr>
                    </w:p>
                    <w:p w14:paraId="4C5E561F" w14:textId="77777777" w:rsidR="00FA7FFA" w:rsidRDefault="00FA7FFA" w:rsidP="00224C39">
                      <w:pPr>
                        <w:pBdr>
                          <w:right w:val="single" w:sz="24" w:space="4" w:color="A6A6A6" w:themeColor="background1" w:themeShade="A6"/>
                        </w:pBdr>
                        <w:spacing w:line="240" w:lineRule="auto"/>
                        <w:rPr>
                          <w:rFonts w:cstheme="minorHAnsi"/>
                          <w:color w:val="FF0000"/>
                          <w:sz w:val="4"/>
                          <w:szCs w:val="4"/>
                        </w:rPr>
                      </w:pPr>
                    </w:p>
                    <w:p w14:paraId="09C61279" w14:textId="77777777" w:rsidR="006A6F7F" w:rsidRPr="00FA7FFA" w:rsidRDefault="006A6F7F" w:rsidP="00224C39">
                      <w:pPr>
                        <w:pBdr>
                          <w:right w:val="single" w:sz="24" w:space="4" w:color="A6A6A6" w:themeColor="background1" w:themeShade="A6"/>
                        </w:pBdr>
                        <w:spacing w:line="240" w:lineRule="auto"/>
                        <w:rPr>
                          <w:rFonts w:cstheme="minorHAnsi"/>
                          <w:color w:val="FF0000"/>
                          <w:sz w:val="4"/>
                          <w:szCs w:val="4"/>
                        </w:rPr>
                      </w:pPr>
                    </w:p>
                    <w:p w14:paraId="74D526BA" w14:textId="77777777" w:rsidR="00224C39" w:rsidRDefault="00224C39" w:rsidP="00224C39">
                      <w:pPr>
                        <w:pBdr>
                          <w:right w:val="single" w:sz="24" w:space="4" w:color="A6A6A6" w:themeColor="background1" w:themeShade="A6"/>
                        </w:pBdr>
                        <w:spacing w:line="240" w:lineRule="auto"/>
                        <w:rPr>
                          <w:rFonts w:cstheme="minorHAnsi"/>
                          <w:color w:val="FF0000"/>
                          <w:sz w:val="6"/>
                          <w:szCs w:val="6"/>
                        </w:rPr>
                      </w:pPr>
                    </w:p>
                    <w:p w14:paraId="303B9173" w14:textId="77777777" w:rsidR="00224C39" w:rsidRDefault="00224C39" w:rsidP="00224C39">
                      <w:pPr>
                        <w:pBdr>
                          <w:right w:val="single" w:sz="24" w:space="4" w:color="A6A6A6" w:themeColor="background1" w:themeShade="A6"/>
                        </w:pBdr>
                        <w:spacing w:line="240" w:lineRule="auto"/>
                        <w:rPr>
                          <w:rFonts w:cstheme="minorHAnsi"/>
                          <w:color w:val="FF0000"/>
                          <w:sz w:val="6"/>
                          <w:szCs w:val="6"/>
                        </w:rPr>
                      </w:pPr>
                    </w:p>
                    <w:p w14:paraId="2C07E232" w14:textId="77777777" w:rsidR="006A6F7F" w:rsidRPr="00BE44B4" w:rsidRDefault="006A6F7F" w:rsidP="00224C39">
                      <w:pPr>
                        <w:pBdr>
                          <w:right w:val="single" w:sz="24" w:space="4" w:color="A6A6A6" w:themeColor="background1" w:themeShade="A6"/>
                        </w:pBdr>
                        <w:spacing w:line="240" w:lineRule="auto"/>
                        <w:rPr>
                          <w:rFonts w:cstheme="minorHAnsi"/>
                          <w:color w:val="FF0000"/>
                          <w:sz w:val="6"/>
                          <w:szCs w:val="6"/>
                        </w:rPr>
                      </w:pPr>
                    </w:p>
                    <w:p w14:paraId="7847C78F" w14:textId="77777777" w:rsidR="00224C39" w:rsidRDefault="00224C39" w:rsidP="00224C39">
                      <w:pPr>
                        <w:pBdr>
                          <w:right w:val="single" w:sz="24" w:space="4" w:color="A6A6A6"/>
                        </w:pBdr>
                        <w:spacing w:after="0" w:line="240" w:lineRule="auto"/>
                        <w:jc w:val="right"/>
                        <w:rPr>
                          <w:rFonts w:cs="Calibri"/>
                          <w:sz w:val="12"/>
                          <w:szCs w:val="12"/>
                        </w:rPr>
                      </w:pPr>
                      <w:r>
                        <w:rPr>
                          <w:rFonts w:cs="Calibri"/>
                          <w:sz w:val="12"/>
                          <w:szCs w:val="12"/>
                        </w:rPr>
                        <w:t>Recebido: 21/05/2024</w:t>
                      </w:r>
                    </w:p>
                    <w:p w14:paraId="74BFB088" w14:textId="77777777" w:rsidR="00224C39" w:rsidRDefault="00224C39" w:rsidP="00224C39">
                      <w:pPr>
                        <w:pBdr>
                          <w:right w:val="single" w:sz="24" w:space="4" w:color="A6A6A6" w:themeColor="background1" w:themeShade="A6"/>
                        </w:pBdr>
                        <w:jc w:val="right"/>
                      </w:pPr>
                      <w:r>
                        <w:rPr>
                          <w:rFonts w:cs="Calibri"/>
                          <w:sz w:val="12"/>
                          <w:szCs w:val="12"/>
                        </w:rPr>
                        <w:t>Aceite: 26/03/2025</w:t>
                      </w:r>
                    </w:p>
                  </w:txbxContent>
                </v:textbox>
                <w10:wrap type="square"/>
              </v:shape>
            </w:pict>
          </mc:Fallback>
        </mc:AlternateContent>
      </w:r>
      <w:r w:rsidR="00224C39" w:rsidRPr="006A6F7F">
        <w:rPr>
          <w:rFonts w:eastAsia="Arial" w:cstheme="minorHAnsi"/>
          <w:b/>
          <w:bCs/>
          <w:sz w:val="20"/>
          <w:szCs w:val="20"/>
          <w:lang w:val="en-US"/>
        </w:rPr>
        <w:t>Keyword</w:t>
      </w:r>
      <w:r>
        <w:rPr>
          <w:rFonts w:eastAsia="Arial" w:cstheme="minorHAnsi"/>
          <w:sz w:val="20"/>
          <w:szCs w:val="20"/>
          <w:lang w:val="en-US"/>
        </w:rPr>
        <w:t>s</w:t>
      </w:r>
      <w:r w:rsidR="00224C39" w:rsidRPr="005C427E">
        <w:rPr>
          <w:rFonts w:eastAsia="Arial" w:cstheme="minorHAnsi"/>
          <w:sz w:val="20"/>
          <w:szCs w:val="20"/>
          <w:lang w:val="en-US"/>
        </w:rPr>
        <w:t>: knee replacement arthroplasty; risk factors; surgical wound infection</w:t>
      </w:r>
    </w:p>
    <w:p w14:paraId="6BE3B1EC" w14:textId="10997DCE" w:rsidR="00224C39" w:rsidRPr="006A6F7F" w:rsidRDefault="00224C39" w:rsidP="00224C39">
      <w:pPr>
        <w:spacing w:after="0" w:line="240" w:lineRule="auto"/>
        <w:ind w:left="-170" w:right="-170"/>
        <w:jc w:val="both"/>
        <w:rPr>
          <w:rFonts w:ascii="Calibri" w:hAnsi="Calibri" w:cs="Calibri"/>
          <w:b/>
          <w:sz w:val="8"/>
          <w:szCs w:val="8"/>
          <w:shd w:val="clear" w:color="auto" w:fill="FFFFFF"/>
          <w:lang w:val="en"/>
        </w:rPr>
      </w:pPr>
    </w:p>
    <w:p w14:paraId="32B7F45D" w14:textId="3E79C98B" w:rsidR="00224C39" w:rsidRPr="00DC6289" w:rsidRDefault="00224C39" w:rsidP="00224C39">
      <w:pPr>
        <w:spacing w:after="0" w:line="240" w:lineRule="auto"/>
        <w:ind w:left="-170" w:right="-170"/>
        <w:jc w:val="both"/>
        <w:rPr>
          <w:rFonts w:ascii="Calibri" w:hAnsi="Calibri" w:cs="Calibri"/>
          <w:b/>
          <w:sz w:val="20"/>
          <w:szCs w:val="20"/>
        </w:rPr>
      </w:pPr>
      <w:r w:rsidRPr="00DC6289">
        <w:rPr>
          <w:rFonts w:ascii="Calibri" w:hAnsi="Calibri" w:cs="Calibri"/>
          <w:b/>
          <w:sz w:val="20"/>
          <w:szCs w:val="20"/>
        </w:rPr>
        <w:t>RESUMO</w:t>
      </w:r>
    </w:p>
    <w:p w14:paraId="2E18020E" w14:textId="3A3AF66B" w:rsidR="00224C39" w:rsidRDefault="00224C39" w:rsidP="00224C39">
      <w:pPr>
        <w:spacing w:after="0" w:line="240" w:lineRule="auto"/>
        <w:ind w:left="-170" w:right="-170"/>
        <w:jc w:val="both"/>
        <w:rPr>
          <w:rFonts w:eastAsia="Arial" w:cstheme="minorHAnsi"/>
          <w:sz w:val="20"/>
          <w:szCs w:val="20"/>
        </w:rPr>
      </w:pPr>
      <w:r w:rsidRPr="001C0E1E">
        <w:rPr>
          <w:rFonts w:eastAsia="Arial" w:cstheme="minorHAnsi"/>
          <w:b/>
          <w:bCs/>
          <w:sz w:val="20"/>
          <w:szCs w:val="20"/>
        </w:rPr>
        <w:t>Enquadramento</w:t>
      </w:r>
      <w:r w:rsidRPr="00DC6289">
        <w:rPr>
          <w:rFonts w:eastAsia="Arial" w:cstheme="minorHAnsi"/>
          <w:sz w:val="20"/>
          <w:szCs w:val="20"/>
        </w:rPr>
        <w:t xml:space="preserve">: os fatores de risco de infeção do local cirúrgico (ILC) após </w:t>
      </w:r>
      <w:proofErr w:type="spellStart"/>
      <w:r w:rsidRPr="00DC6289">
        <w:rPr>
          <w:rFonts w:eastAsia="Arial" w:cstheme="minorHAnsi"/>
          <w:sz w:val="20"/>
          <w:szCs w:val="20"/>
        </w:rPr>
        <w:t>Artroplastia</w:t>
      </w:r>
      <w:proofErr w:type="spellEnd"/>
      <w:r w:rsidRPr="00DC6289">
        <w:rPr>
          <w:rFonts w:eastAsia="Arial" w:cstheme="minorHAnsi"/>
          <w:sz w:val="20"/>
          <w:szCs w:val="20"/>
        </w:rPr>
        <w:t xml:space="preserve"> do Joelho têm impacto na segurança e qualidade de vida da pessoa em situação </w:t>
      </w:r>
      <w:proofErr w:type="spellStart"/>
      <w:r w:rsidRPr="00DC6289">
        <w:rPr>
          <w:rFonts w:eastAsia="Arial" w:cstheme="minorHAnsi"/>
          <w:sz w:val="20"/>
          <w:szCs w:val="20"/>
        </w:rPr>
        <w:t>perioperatória</w:t>
      </w:r>
      <w:proofErr w:type="spellEnd"/>
      <w:r w:rsidRPr="00DC6289">
        <w:rPr>
          <w:rFonts w:eastAsia="Arial" w:cstheme="minorHAnsi"/>
          <w:sz w:val="20"/>
          <w:szCs w:val="20"/>
        </w:rPr>
        <w:t xml:space="preserve"> e no aumento de custos para as unidades de saúde. Verifica-se que este tema é maioritariamente estudado conjuntamente com os fatores de risco de ILC após </w:t>
      </w:r>
      <w:proofErr w:type="spellStart"/>
      <w:r w:rsidRPr="00DC6289">
        <w:rPr>
          <w:rFonts w:eastAsia="Arial" w:cstheme="minorHAnsi"/>
          <w:sz w:val="20"/>
          <w:szCs w:val="20"/>
        </w:rPr>
        <w:t>artroplastia</w:t>
      </w:r>
      <w:proofErr w:type="spellEnd"/>
      <w:r w:rsidRPr="00DC6289">
        <w:rPr>
          <w:rFonts w:eastAsia="Arial" w:cstheme="minorHAnsi"/>
          <w:sz w:val="20"/>
          <w:szCs w:val="20"/>
        </w:rPr>
        <w:t xml:space="preserve"> da anca. É imprescindível abordá-lo de forma isolada, para criar instrumentos de identificação de risco que permitam identificar as pessoas mais vulneráveis às infeções do local cirúrgico nesta cirurgia. </w:t>
      </w:r>
      <w:r w:rsidRPr="001C0E1E">
        <w:rPr>
          <w:rFonts w:eastAsia="Arial" w:cstheme="minorHAnsi"/>
          <w:b/>
          <w:bCs/>
          <w:sz w:val="20"/>
          <w:szCs w:val="20"/>
        </w:rPr>
        <w:t>Objetivos</w:t>
      </w:r>
      <w:r w:rsidRPr="00DC6289">
        <w:rPr>
          <w:rFonts w:eastAsia="Arial" w:cstheme="minorHAnsi"/>
          <w:sz w:val="20"/>
          <w:szCs w:val="20"/>
        </w:rPr>
        <w:t xml:space="preserve">: mapear a evidência sobre os fatores de risco de ILC nas pessoas submetidas a </w:t>
      </w:r>
      <w:proofErr w:type="spellStart"/>
      <w:r w:rsidRPr="00DC6289">
        <w:rPr>
          <w:rFonts w:eastAsia="Arial" w:cstheme="minorHAnsi"/>
          <w:sz w:val="20"/>
          <w:szCs w:val="20"/>
        </w:rPr>
        <w:t>Artoplastia</w:t>
      </w:r>
      <w:proofErr w:type="spellEnd"/>
      <w:r w:rsidRPr="00DC6289">
        <w:rPr>
          <w:rFonts w:eastAsia="Arial" w:cstheme="minorHAnsi"/>
          <w:sz w:val="20"/>
          <w:szCs w:val="20"/>
        </w:rPr>
        <w:t xml:space="preserve"> do Joelho. </w:t>
      </w:r>
      <w:r w:rsidRPr="001C0E1E">
        <w:rPr>
          <w:rFonts w:eastAsia="Arial" w:cstheme="minorHAnsi"/>
          <w:b/>
          <w:bCs/>
          <w:sz w:val="20"/>
          <w:szCs w:val="20"/>
        </w:rPr>
        <w:t>Metodologia</w:t>
      </w:r>
      <w:r w:rsidRPr="00DC6289">
        <w:rPr>
          <w:rFonts w:eastAsia="Arial" w:cstheme="minorHAnsi"/>
          <w:sz w:val="20"/>
          <w:szCs w:val="20"/>
        </w:rPr>
        <w:t xml:space="preserve">: revisão </w:t>
      </w:r>
      <w:proofErr w:type="spellStart"/>
      <w:r w:rsidRPr="00DC6289">
        <w:rPr>
          <w:rFonts w:eastAsia="Arial" w:cstheme="minorHAnsi"/>
          <w:sz w:val="20"/>
          <w:szCs w:val="20"/>
        </w:rPr>
        <w:t>scoping</w:t>
      </w:r>
      <w:proofErr w:type="spellEnd"/>
      <w:r w:rsidRPr="00DC6289">
        <w:rPr>
          <w:rFonts w:eastAsia="Arial" w:cstheme="minorHAnsi"/>
          <w:sz w:val="20"/>
          <w:szCs w:val="20"/>
        </w:rPr>
        <w:t xml:space="preserve"> orientada pela metodologia do Joanna </w:t>
      </w:r>
      <w:proofErr w:type="spellStart"/>
      <w:r w:rsidRPr="00DC6289">
        <w:rPr>
          <w:rFonts w:eastAsia="Arial" w:cstheme="minorHAnsi"/>
          <w:sz w:val="20"/>
          <w:szCs w:val="20"/>
        </w:rPr>
        <w:t>Briggs</w:t>
      </w:r>
      <w:proofErr w:type="spellEnd"/>
      <w:r w:rsidRPr="00DC6289">
        <w:rPr>
          <w:rFonts w:eastAsia="Arial" w:cstheme="minorHAnsi"/>
          <w:sz w:val="20"/>
          <w:szCs w:val="20"/>
        </w:rPr>
        <w:t xml:space="preserve"> </w:t>
      </w:r>
      <w:proofErr w:type="spellStart"/>
      <w:r w:rsidRPr="00DC6289">
        <w:rPr>
          <w:rFonts w:eastAsia="Arial" w:cstheme="minorHAnsi"/>
          <w:sz w:val="20"/>
          <w:szCs w:val="20"/>
        </w:rPr>
        <w:t>Institute</w:t>
      </w:r>
      <w:proofErr w:type="spellEnd"/>
      <w:r w:rsidRPr="00DC6289">
        <w:rPr>
          <w:rFonts w:eastAsia="Arial" w:cstheme="minorHAnsi"/>
          <w:sz w:val="20"/>
          <w:szCs w:val="20"/>
        </w:rPr>
        <w:t xml:space="preserve">. Aplicado limite temporal 2018 a 2024, a partir de uma revisão identificada sobre essa temática. </w:t>
      </w:r>
      <w:r w:rsidRPr="001C0E1E">
        <w:rPr>
          <w:rFonts w:eastAsia="Arial" w:cstheme="minorHAnsi"/>
          <w:b/>
          <w:bCs/>
          <w:sz w:val="20"/>
          <w:szCs w:val="20"/>
        </w:rPr>
        <w:t>Resultados</w:t>
      </w:r>
      <w:r w:rsidRPr="00DC6289">
        <w:rPr>
          <w:rFonts w:eastAsia="Arial" w:cstheme="minorHAnsi"/>
          <w:sz w:val="20"/>
          <w:szCs w:val="20"/>
        </w:rPr>
        <w:t xml:space="preserve">: foram incluídos 27 artigos na revisão, e identificados fatores de risco modificáveis e não modificáveis no período </w:t>
      </w:r>
      <w:proofErr w:type="spellStart"/>
      <w:r w:rsidRPr="00DC6289">
        <w:rPr>
          <w:rFonts w:eastAsia="Arial" w:cstheme="minorHAnsi"/>
          <w:sz w:val="20"/>
          <w:szCs w:val="20"/>
        </w:rPr>
        <w:t>perioperatório</w:t>
      </w:r>
      <w:proofErr w:type="spellEnd"/>
      <w:r w:rsidRPr="00DC6289">
        <w:rPr>
          <w:rFonts w:eastAsia="Arial" w:cstheme="minorHAnsi"/>
          <w:sz w:val="20"/>
          <w:szCs w:val="20"/>
        </w:rPr>
        <w:t xml:space="preserve">. As competências avançadas do enfermeiro especialista para minimizar/eliminar o risco da ILC são fundamentais principalmente nos fatores de risco modificáveis. </w:t>
      </w:r>
      <w:r w:rsidRPr="001C0E1E">
        <w:rPr>
          <w:rFonts w:eastAsia="Arial" w:cstheme="minorHAnsi"/>
          <w:b/>
          <w:bCs/>
          <w:sz w:val="20"/>
          <w:szCs w:val="20"/>
        </w:rPr>
        <w:t>Conclusão</w:t>
      </w:r>
      <w:r w:rsidRPr="00DC6289">
        <w:rPr>
          <w:rFonts w:eastAsia="Arial" w:cstheme="minorHAnsi"/>
          <w:sz w:val="20"/>
          <w:szCs w:val="20"/>
        </w:rPr>
        <w:t xml:space="preserve">: os fatores de risco estão presentes no período </w:t>
      </w:r>
      <w:proofErr w:type="spellStart"/>
      <w:r w:rsidRPr="00DC6289">
        <w:rPr>
          <w:rFonts w:eastAsia="Arial" w:cstheme="minorHAnsi"/>
          <w:sz w:val="20"/>
          <w:szCs w:val="20"/>
        </w:rPr>
        <w:t>perioperatório</w:t>
      </w:r>
      <w:proofErr w:type="spellEnd"/>
      <w:r w:rsidRPr="00DC6289">
        <w:rPr>
          <w:rFonts w:eastAsia="Arial" w:cstheme="minorHAnsi"/>
          <w:sz w:val="20"/>
          <w:szCs w:val="20"/>
        </w:rPr>
        <w:t>, sendo alguns intrínsecos à própria pessoa e outros decorrentes das práticas dos próprios profissionais de saúde colocando em risco a segurança cirúrgica</w:t>
      </w:r>
    </w:p>
    <w:p w14:paraId="56266E99" w14:textId="10A13C5B" w:rsidR="00224C39" w:rsidRPr="00DC6289" w:rsidRDefault="00224C39" w:rsidP="00224C39">
      <w:pPr>
        <w:spacing w:after="0" w:line="240" w:lineRule="auto"/>
        <w:ind w:left="-170" w:right="-170"/>
        <w:jc w:val="both"/>
        <w:rPr>
          <w:rFonts w:eastAsia="Arial" w:cstheme="minorHAnsi"/>
          <w:sz w:val="20"/>
          <w:szCs w:val="20"/>
        </w:rPr>
      </w:pPr>
      <w:r w:rsidRPr="001C0E1E">
        <w:rPr>
          <w:rFonts w:eastAsia="Arial" w:cstheme="minorHAnsi"/>
          <w:b/>
          <w:bCs/>
          <w:sz w:val="20"/>
          <w:szCs w:val="20"/>
        </w:rPr>
        <w:t>Palavra</w:t>
      </w:r>
      <w:r w:rsidR="006A6F7F">
        <w:rPr>
          <w:rFonts w:eastAsia="Arial" w:cstheme="minorHAnsi"/>
          <w:b/>
          <w:bCs/>
          <w:sz w:val="20"/>
          <w:szCs w:val="20"/>
        </w:rPr>
        <w:t>s</w:t>
      </w:r>
      <w:r w:rsidRPr="001C0E1E">
        <w:rPr>
          <w:rFonts w:eastAsia="Arial" w:cstheme="minorHAnsi"/>
          <w:b/>
          <w:bCs/>
          <w:sz w:val="20"/>
          <w:szCs w:val="20"/>
        </w:rPr>
        <w:t>-chave</w:t>
      </w:r>
      <w:r w:rsidRPr="00DC6289">
        <w:rPr>
          <w:rFonts w:eastAsia="Arial" w:cstheme="minorHAnsi"/>
          <w:sz w:val="20"/>
          <w:szCs w:val="20"/>
        </w:rPr>
        <w:t xml:space="preserve">: </w:t>
      </w:r>
      <w:proofErr w:type="spellStart"/>
      <w:r w:rsidRPr="00DC6289">
        <w:rPr>
          <w:rFonts w:eastAsia="Arial" w:cstheme="minorHAnsi"/>
          <w:sz w:val="20"/>
          <w:szCs w:val="20"/>
        </w:rPr>
        <w:t>artroplastia</w:t>
      </w:r>
      <w:proofErr w:type="spellEnd"/>
      <w:r w:rsidRPr="00DC6289">
        <w:rPr>
          <w:rFonts w:eastAsia="Arial" w:cstheme="minorHAnsi"/>
          <w:sz w:val="20"/>
          <w:szCs w:val="20"/>
        </w:rPr>
        <w:t xml:space="preserve"> do joelho; fatores de risco; </w:t>
      </w:r>
      <w:proofErr w:type="spellStart"/>
      <w:r w:rsidRPr="00DC6289">
        <w:rPr>
          <w:rFonts w:eastAsia="Arial" w:cstheme="minorHAnsi"/>
          <w:sz w:val="20"/>
          <w:szCs w:val="20"/>
        </w:rPr>
        <w:t>infecção</w:t>
      </w:r>
      <w:proofErr w:type="spellEnd"/>
      <w:r w:rsidRPr="00DC6289">
        <w:rPr>
          <w:rFonts w:eastAsia="Arial" w:cstheme="minorHAnsi"/>
          <w:sz w:val="20"/>
          <w:szCs w:val="20"/>
        </w:rPr>
        <w:t xml:space="preserve"> da ferida cirúrgica. </w:t>
      </w:r>
    </w:p>
    <w:p w14:paraId="61C15F2C" w14:textId="77777777" w:rsidR="00224C39" w:rsidRPr="006A6F7F" w:rsidRDefault="00224C39" w:rsidP="00224C39">
      <w:pPr>
        <w:spacing w:after="0" w:line="240" w:lineRule="auto"/>
        <w:ind w:left="2268" w:right="-170"/>
        <w:jc w:val="both"/>
        <w:rPr>
          <w:rFonts w:ascii="Calibri" w:hAnsi="Calibri" w:cs="Calibri"/>
          <w:b/>
          <w:sz w:val="12"/>
          <w:szCs w:val="12"/>
          <w:shd w:val="clear" w:color="auto" w:fill="FFFFFF"/>
        </w:rPr>
      </w:pPr>
    </w:p>
    <w:p w14:paraId="526CF592" w14:textId="77777777" w:rsidR="00224C39" w:rsidRPr="001C0E1E" w:rsidRDefault="00224C39" w:rsidP="00FA7FFA">
      <w:pPr>
        <w:spacing w:after="0" w:line="240" w:lineRule="auto"/>
        <w:ind w:left="1843" w:right="-170"/>
        <w:jc w:val="both"/>
        <w:rPr>
          <w:rFonts w:ascii="Calibri" w:hAnsi="Calibri" w:cs="Calibri"/>
          <w:b/>
          <w:sz w:val="19"/>
          <w:szCs w:val="19"/>
          <w:shd w:val="clear" w:color="auto" w:fill="FFFFFF"/>
          <w:lang w:val="es-ES"/>
        </w:rPr>
      </w:pPr>
      <w:r w:rsidRPr="001C0E1E">
        <w:rPr>
          <w:rFonts w:ascii="Calibri" w:hAnsi="Calibri" w:cs="Calibri"/>
          <w:b/>
          <w:sz w:val="19"/>
          <w:szCs w:val="19"/>
          <w:shd w:val="clear" w:color="auto" w:fill="FFFFFF"/>
          <w:lang w:val="es-ES"/>
        </w:rPr>
        <w:t>RESUMEN</w:t>
      </w:r>
    </w:p>
    <w:p w14:paraId="3915D308" w14:textId="77777777" w:rsidR="00224C39" w:rsidRPr="006A6F7F" w:rsidRDefault="00224C39" w:rsidP="00FA7FFA">
      <w:pPr>
        <w:spacing w:after="0" w:line="240" w:lineRule="auto"/>
        <w:ind w:left="1843" w:right="-170"/>
        <w:jc w:val="both"/>
        <w:rPr>
          <w:rFonts w:cstheme="minorHAnsi"/>
          <w:sz w:val="20"/>
          <w:szCs w:val="20"/>
        </w:rPr>
      </w:pPr>
      <w:r w:rsidRPr="006A6F7F">
        <w:rPr>
          <w:b/>
          <w:bCs/>
          <w:sz w:val="20"/>
          <w:szCs w:val="20"/>
        </w:rPr>
        <w:t>Marco Contextual</w:t>
      </w:r>
      <w:r w:rsidRPr="006A6F7F">
        <w:rPr>
          <w:sz w:val="20"/>
          <w:szCs w:val="20"/>
        </w:rPr>
        <w:t xml:space="preserve">: los </w:t>
      </w:r>
      <w:proofErr w:type="spellStart"/>
      <w:r w:rsidRPr="006A6F7F">
        <w:rPr>
          <w:sz w:val="20"/>
          <w:szCs w:val="20"/>
        </w:rPr>
        <w:t>factores</w:t>
      </w:r>
      <w:proofErr w:type="spellEnd"/>
      <w:r w:rsidRPr="006A6F7F">
        <w:rPr>
          <w:sz w:val="20"/>
          <w:szCs w:val="20"/>
        </w:rPr>
        <w:t xml:space="preserve"> de </w:t>
      </w:r>
      <w:proofErr w:type="spellStart"/>
      <w:r w:rsidRPr="006A6F7F">
        <w:rPr>
          <w:sz w:val="20"/>
          <w:szCs w:val="20"/>
        </w:rPr>
        <w:t>riesgo</w:t>
      </w:r>
      <w:proofErr w:type="spellEnd"/>
      <w:r w:rsidRPr="006A6F7F">
        <w:rPr>
          <w:sz w:val="20"/>
          <w:szCs w:val="20"/>
        </w:rPr>
        <w:t xml:space="preserve"> de </w:t>
      </w:r>
      <w:proofErr w:type="spellStart"/>
      <w:r w:rsidRPr="006A6F7F">
        <w:rPr>
          <w:sz w:val="20"/>
          <w:szCs w:val="20"/>
        </w:rPr>
        <w:t>infección</w:t>
      </w:r>
      <w:proofErr w:type="spellEnd"/>
      <w:r w:rsidRPr="006A6F7F">
        <w:rPr>
          <w:sz w:val="20"/>
          <w:szCs w:val="20"/>
        </w:rPr>
        <w:t xml:space="preserve"> </w:t>
      </w:r>
      <w:proofErr w:type="spellStart"/>
      <w:r w:rsidRPr="006A6F7F">
        <w:rPr>
          <w:sz w:val="20"/>
          <w:szCs w:val="20"/>
        </w:rPr>
        <w:t>del</w:t>
      </w:r>
      <w:proofErr w:type="spellEnd"/>
      <w:r w:rsidRPr="006A6F7F">
        <w:rPr>
          <w:sz w:val="20"/>
          <w:szCs w:val="20"/>
        </w:rPr>
        <w:t xml:space="preserve"> </w:t>
      </w:r>
      <w:proofErr w:type="gramStart"/>
      <w:r w:rsidRPr="006A6F7F">
        <w:rPr>
          <w:sz w:val="20"/>
          <w:szCs w:val="20"/>
        </w:rPr>
        <w:t>sitio</w:t>
      </w:r>
      <w:proofErr w:type="gramEnd"/>
      <w:r w:rsidRPr="006A6F7F">
        <w:rPr>
          <w:sz w:val="20"/>
          <w:szCs w:val="20"/>
        </w:rPr>
        <w:t xml:space="preserve"> </w:t>
      </w:r>
      <w:proofErr w:type="spellStart"/>
      <w:r w:rsidRPr="006A6F7F">
        <w:rPr>
          <w:sz w:val="20"/>
          <w:szCs w:val="20"/>
        </w:rPr>
        <w:t>quirúrgico</w:t>
      </w:r>
      <w:proofErr w:type="spellEnd"/>
      <w:r w:rsidRPr="006A6F7F">
        <w:rPr>
          <w:sz w:val="20"/>
          <w:szCs w:val="20"/>
        </w:rPr>
        <w:t xml:space="preserve"> (ISQ) </w:t>
      </w:r>
      <w:proofErr w:type="spellStart"/>
      <w:r w:rsidRPr="006A6F7F">
        <w:rPr>
          <w:sz w:val="20"/>
          <w:szCs w:val="20"/>
        </w:rPr>
        <w:t>después</w:t>
      </w:r>
      <w:proofErr w:type="spellEnd"/>
      <w:r w:rsidRPr="006A6F7F">
        <w:rPr>
          <w:sz w:val="20"/>
          <w:szCs w:val="20"/>
        </w:rPr>
        <w:t xml:space="preserve"> de la </w:t>
      </w:r>
      <w:proofErr w:type="spellStart"/>
      <w:r w:rsidRPr="006A6F7F">
        <w:rPr>
          <w:sz w:val="20"/>
          <w:szCs w:val="20"/>
        </w:rPr>
        <w:t>Artroplastia</w:t>
      </w:r>
      <w:proofErr w:type="spellEnd"/>
      <w:r w:rsidRPr="006A6F7F">
        <w:rPr>
          <w:sz w:val="20"/>
          <w:szCs w:val="20"/>
        </w:rPr>
        <w:t xml:space="preserve"> de </w:t>
      </w:r>
      <w:proofErr w:type="spellStart"/>
      <w:r w:rsidRPr="006A6F7F">
        <w:rPr>
          <w:sz w:val="20"/>
          <w:szCs w:val="20"/>
        </w:rPr>
        <w:t>Reemplazo</w:t>
      </w:r>
      <w:proofErr w:type="spellEnd"/>
      <w:r w:rsidRPr="006A6F7F">
        <w:rPr>
          <w:sz w:val="20"/>
          <w:szCs w:val="20"/>
        </w:rPr>
        <w:t xml:space="preserve"> de </w:t>
      </w:r>
      <w:proofErr w:type="spellStart"/>
      <w:r w:rsidRPr="006A6F7F">
        <w:rPr>
          <w:sz w:val="20"/>
          <w:szCs w:val="20"/>
        </w:rPr>
        <w:t>Rodilla</w:t>
      </w:r>
      <w:proofErr w:type="spellEnd"/>
      <w:r w:rsidRPr="006A6F7F">
        <w:rPr>
          <w:sz w:val="20"/>
          <w:szCs w:val="20"/>
        </w:rPr>
        <w:t xml:space="preserve"> </w:t>
      </w:r>
      <w:proofErr w:type="spellStart"/>
      <w:r w:rsidRPr="006A6F7F">
        <w:rPr>
          <w:sz w:val="20"/>
          <w:szCs w:val="20"/>
        </w:rPr>
        <w:t>tienen</w:t>
      </w:r>
      <w:proofErr w:type="spellEnd"/>
      <w:r w:rsidRPr="006A6F7F">
        <w:rPr>
          <w:sz w:val="20"/>
          <w:szCs w:val="20"/>
        </w:rPr>
        <w:t xml:space="preserve"> </w:t>
      </w:r>
      <w:proofErr w:type="spellStart"/>
      <w:r w:rsidRPr="006A6F7F">
        <w:rPr>
          <w:sz w:val="20"/>
          <w:szCs w:val="20"/>
        </w:rPr>
        <w:t>un</w:t>
      </w:r>
      <w:proofErr w:type="spellEnd"/>
      <w:r w:rsidRPr="006A6F7F">
        <w:rPr>
          <w:sz w:val="20"/>
          <w:szCs w:val="20"/>
        </w:rPr>
        <w:t xml:space="preserve"> impacto </w:t>
      </w:r>
      <w:proofErr w:type="spellStart"/>
      <w:r w:rsidRPr="006A6F7F">
        <w:rPr>
          <w:sz w:val="20"/>
          <w:szCs w:val="20"/>
        </w:rPr>
        <w:t>en</w:t>
      </w:r>
      <w:proofErr w:type="spellEnd"/>
      <w:r w:rsidRPr="006A6F7F">
        <w:rPr>
          <w:sz w:val="20"/>
          <w:szCs w:val="20"/>
        </w:rPr>
        <w:t xml:space="preserve"> la </w:t>
      </w:r>
      <w:proofErr w:type="spellStart"/>
      <w:r w:rsidRPr="006A6F7F">
        <w:rPr>
          <w:sz w:val="20"/>
          <w:szCs w:val="20"/>
        </w:rPr>
        <w:t>seguridad</w:t>
      </w:r>
      <w:proofErr w:type="spellEnd"/>
      <w:r w:rsidRPr="006A6F7F">
        <w:rPr>
          <w:sz w:val="20"/>
          <w:szCs w:val="20"/>
        </w:rPr>
        <w:t xml:space="preserve"> y </w:t>
      </w:r>
      <w:proofErr w:type="spellStart"/>
      <w:r w:rsidRPr="006A6F7F">
        <w:rPr>
          <w:sz w:val="20"/>
          <w:szCs w:val="20"/>
        </w:rPr>
        <w:t>calidad</w:t>
      </w:r>
      <w:proofErr w:type="spellEnd"/>
      <w:r w:rsidRPr="006A6F7F">
        <w:rPr>
          <w:sz w:val="20"/>
          <w:szCs w:val="20"/>
        </w:rPr>
        <w:t xml:space="preserve"> de vida de la persona </w:t>
      </w:r>
      <w:proofErr w:type="spellStart"/>
      <w:r w:rsidRPr="006A6F7F">
        <w:rPr>
          <w:sz w:val="20"/>
          <w:szCs w:val="20"/>
        </w:rPr>
        <w:t>en</w:t>
      </w:r>
      <w:proofErr w:type="spellEnd"/>
      <w:r w:rsidRPr="006A6F7F">
        <w:rPr>
          <w:sz w:val="20"/>
          <w:szCs w:val="20"/>
        </w:rPr>
        <w:t xml:space="preserve"> la </w:t>
      </w:r>
      <w:proofErr w:type="spellStart"/>
      <w:r w:rsidRPr="006A6F7F">
        <w:rPr>
          <w:sz w:val="20"/>
          <w:szCs w:val="20"/>
        </w:rPr>
        <w:t>situación</w:t>
      </w:r>
      <w:proofErr w:type="spellEnd"/>
      <w:r w:rsidRPr="006A6F7F">
        <w:rPr>
          <w:sz w:val="20"/>
          <w:szCs w:val="20"/>
        </w:rPr>
        <w:t xml:space="preserve"> </w:t>
      </w:r>
      <w:proofErr w:type="spellStart"/>
      <w:r w:rsidRPr="006A6F7F">
        <w:rPr>
          <w:sz w:val="20"/>
          <w:szCs w:val="20"/>
        </w:rPr>
        <w:t>perioperatoria</w:t>
      </w:r>
      <w:proofErr w:type="spellEnd"/>
      <w:r w:rsidRPr="006A6F7F">
        <w:rPr>
          <w:sz w:val="20"/>
          <w:szCs w:val="20"/>
        </w:rPr>
        <w:t xml:space="preserve"> y </w:t>
      </w:r>
      <w:proofErr w:type="spellStart"/>
      <w:r w:rsidRPr="006A6F7F">
        <w:rPr>
          <w:sz w:val="20"/>
          <w:szCs w:val="20"/>
        </w:rPr>
        <w:t>en</w:t>
      </w:r>
      <w:proofErr w:type="spellEnd"/>
      <w:r w:rsidRPr="006A6F7F">
        <w:rPr>
          <w:sz w:val="20"/>
          <w:szCs w:val="20"/>
        </w:rPr>
        <w:t xml:space="preserve"> el aumento de costos para las unidades de </w:t>
      </w:r>
      <w:proofErr w:type="spellStart"/>
      <w:r w:rsidRPr="006A6F7F">
        <w:rPr>
          <w:sz w:val="20"/>
          <w:szCs w:val="20"/>
        </w:rPr>
        <w:t>salud</w:t>
      </w:r>
      <w:proofErr w:type="spellEnd"/>
      <w:r w:rsidRPr="006A6F7F">
        <w:rPr>
          <w:sz w:val="20"/>
          <w:szCs w:val="20"/>
        </w:rPr>
        <w:t xml:space="preserve">. Parece que este tema se </w:t>
      </w:r>
      <w:proofErr w:type="spellStart"/>
      <w:r w:rsidRPr="006A6F7F">
        <w:rPr>
          <w:sz w:val="20"/>
          <w:szCs w:val="20"/>
        </w:rPr>
        <w:t>estudia</w:t>
      </w:r>
      <w:proofErr w:type="spellEnd"/>
      <w:r w:rsidRPr="006A6F7F">
        <w:rPr>
          <w:sz w:val="20"/>
          <w:szCs w:val="20"/>
        </w:rPr>
        <w:t xml:space="preserve"> principalmente junto </w:t>
      </w:r>
      <w:proofErr w:type="spellStart"/>
      <w:r w:rsidRPr="006A6F7F">
        <w:rPr>
          <w:sz w:val="20"/>
          <w:szCs w:val="20"/>
        </w:rPr>
        <w:t>con</w:t>
      </w:r>
      <w:proofErr w:type="spellEnd"/>
      <w:r w:rsidRPr="006A6F7F">
        <w:rPr>
          <w:sz w:val="20"/>
          <w:szCs w:val="20"/>
        </w:rPr>
        <w:t xml:space="preserve"> los </w:t>
      </w:r>
      <w:proofErr w:type="spellStart"/>
      <w:r w:rsidRPr="006A6F7F">
        <w:rPr>
          <w:sz w:val="20"/>
          <w:szCs w:val="20"/>
        </w:rPr>
        <w:t>factores</w:t>
      </w:r>
      <w:proofErr w:type="spellEnd"/>
      <w:r w:rsidRPr="006A6F7F">
        <w:rPr>
          <w:sz w:val="20"/>
          <w:szCs w:val="20"/>
        </w:rPr>
        <w:t xml:space="preserve"> de </w:t>
      </w:r>
      <w:proofErr w:type="spellStart"/>
      <w:r w:rsidRPr="006A6F7F">
        <w:rPr>
          <w:sz w:val="20"/>
          <w:szCs w:val="20"/>
        </w:rPr>
        <w:t>riesgo</w:t>
      </w:r>
      <w:proofErr w:type="spellEnd"/>
      <w:r w:rsidRPr="006A6F7F">
        <w:rPr>
          <w:sz w:val="20"/>
          <w:szCs w:val="20"/>
        </w:rPr>
        <w:t xml:space="preserve"> de ISQ </w:t>
      </w:r>
      <w:proofErr w:type="spellStart"/>
      <w:r w:rsidRPr="006A6F7F">
        <w:rPr>
          <w:sz w:val="20"/>
          <w:szCs w:val="20"/>
        </w:rPr>
        <w:t>después</w:t>
      </w:r>
      <w:proofErr w:type="spellEnd"/>
      <w:r w:rsidRPr="006A6F7F">
        <w:rPr>
          <w:sz w:val="20"/>
          <w:szCs w:val="20"/>
        </w:rPr>
        <w:t xml:space="preserve"> de una </w:t>
      </w:r>
      <w:proofErr w:type="spellStart"/>
      <w:r w:rsidRPr="006A6F7F">
        <w:rPr>
          <w:sz w:val="20"/>
          <w:szCs w:val="20"/>
        </w:rPr>
        <w:t>artroplastia</w:t>
      </w:r>
      <w:proofErr w:type="spellEnd"/>
      <w:r w:rsidRPr="006A6F7F">
        <w:rPr>
          <w:sz w:val="20"/>
          <w:szCs w:val="20"/>
        </w:rPr>
        <w:t xml:space="preserve"> de </w:t>
      </w:r>
      <w:proofErr w:type="spellStart"/>
      <w:r w:rsidRPr="006A6F7F">
        <w:rPr>
          <w:sz w:val="20"/>
          <w:szCs w:val="20"/>
        </w:rPr>
        <w:t>cadera</w:t>
      </w:r>
      <w:proofErr w:type="spellEnd"/>
      <w:r w:rsidRPr="006A6F7F">
        <w:rPr>
          <w:sz w:val="20"/>
          <w:szCs w:val="20"/>
        </w:rPr>
        <w:t xml:space="preserve">. </w:t>
      </w:r>
      <w:proofErr w:type="spellStart"/>
      <w:r w:rsidRPr="006A6F7F">
        <w:rPr>
          <w:sz w:val="20"/>
          <w:szCs w:val="20"/>
        </w:rPr>
        <w:t>Es</w:t>
      </w:r>
      <w:proofErr w:type="spellEnd"/>
      <w:r w:rsidRPr="006A6F7F">
        <w:rPr>
          <w:sz w:val="20"/>
          <w:szCs w:val="20"/>
        </w:rPr>
        <w:t xml:space="preserve"> fundamental </w:t>
      </w:r>
      <w:proofErr w:type="spellStart"/>
      <w:r w:rsidRPr="006A6F7F">
        <w:rPr>
          <w:sz w:val="20"/>
          <w:szCs w:val="20"/>
        </w:rPr>
        <w:t>abordarlo</w:t>
      </w:r>
      <w:proofErr w:type="spellEnd"/>
      <w:r w:rsidRPr="006A6F7F">
        <w:rPr>
          <w:sz w:val="20"/>
          <w:szCs w:val="20"/>
        </w:rPr>
        <w:t xml:space="preserve"> de forma </w:t>
      </w:r>
      <w:proofErr w:type="spellStart"/>
      <w:r w:rsidRPr="006A6F7F">
        <w:rPr>
          <w:sz w:val="20"/>
          <w:szCs w:val="20"/>
        </w:rPr>
        <w:t>aislada</w:t>
      </w:r>
      <w:proofErr w:type="spellEnd"/>
      <w:r w:rsidRPr="006A6F7F">
        <w:rPr>
          <w:sz w:val="20"/>
          <w:szCs w:val="20"/>
        </w:rPr>
        <w:t xml:space="preserve">, para </w:t>
      </w:r>
      <w:proofErr w:type="spellStart"/>
      <w:r w:rsidRPr="006A6F7F">
        <w:rPr>
          <w:sz w:val="20"/>
          <w:szCs w:val="20"/>
        </w:rPr>
        <w:t>crear</w:t>
      </w:r>
      <w:proofErr w:type="spellEnd"/>
      <w:r w:rsidRPr="006A6F7F">
        <w:rPr>
          <w:sz w:val="20"/>
          <w:szCs w:val="20"/>
        </w:rPr>
        <w:t xml:space="preserve"> </w:t>
      </w:r>
      <w:proofErr w:type="spellStart"/>
      <w:r w:rsidRPr="006A6F7F">
        <w:rPr>
          <w:sz w:val="20"/>
          <w:szCs w:val="20"/>
        </w:rPr>
        <w:t>herramientas</w:t>
      </w:r>
      <w:proofErr w:type="spellEnd"/>
      <w:r w:rsidRPr="006A6F7F">
        <w:rPr>
          <w:sz w:val="20"/>
          <w:szCs w:val="20"/>
        </w:rPr>
        <w:t xml:space="preserve"> de </w:t>
      </w:r>
      <w:proofErr w:type="spellStart"/>
      <w:r w:rsidRPr="006A6F7F">
        <w:rPr>
          <w:sz w:val="20"/>
          <w:szCs w:val="20"/>
        </w:rPr>
        <w:t>identificación</w:t>
      </w:r>
      <w:proofErr w:type="spellEnd"/>
      <w:r w:rsidRPr="006A6F7F">
        <w:rPr>
          <w:sz w:val="20"/>
          <w:szCs w:val="20"/>
        </w:rPr>
        <w:t xml:space="preserve"> de </w:t>
      </w:r>
      <w:proofErr w:type="spellStart"/>
      <w:r w:rsidRPr="006A6F7F">
        <w:rPr>
          <w:sz w:val="20"/>
          <w:szCs w:val="20"/>
        </w:rPr>
        <w:t>riesgos</w:t>
      </w:r>
      <w:proofErr w:type="spellEnd"/>
      <w:r w:rsidRPr="006A6F7F">
        <w:rPr>
          <w:sz w:val="20"/>
          <w:szCs w:val="20"/>
        </w:rPr>
        <w:t xml:space="preserve"> que </w:t>
      </w:r>
      <w:proofErr w:type="spellStart"/>
      <w:r w:rsidRPr="006A6F7F">
        <w:rPr>
          <w:sz w:val="20"/>
          <w:szCs w:val="20"/>
        </w:rPr>
        <w:t>permitan</w:t>
      </w:r>
      <w:proofErr w:type="spellEnd"/>
      <w:r w:rsidRPr="006A6F7F">
        <w:rPr>
          <w:sz w:val="20"/>
          <w:szCs w:val="20"/>
        </w:rPr>
        <w:t xml:space="preserve"> identificar a las personas más </w:t>
      </w:r>
      <w:proofErr w:type="spellStart"/>
      <w:r w:rsidRPr="006A6F7F">
        <w:rPr>
          <w:sz w:val="20"/>
          <w:szCs w:val="20"/>
        </w:rPr>
        <w:t>vulnerables</w:t>
      </w:r>
      <w:proofErr w:type="spellEnd"/>
      <w:r w:rsidRPr="006A6F7F">
        <w:rPr>
          <w:sz w:val="20"/>
          <w:szCs w:val="20"/>
        </w:rPr>
        <w:t xml:space="preserve"> a </w:t>
      </w:r>
      <w:proofErr w:type="spellStart"/>
      <w:r w:rsidRPr="006A6F7F">
        <w:rPr>
          <w:sz w:val="20"/>
          <w:szCs w:val="20"/>
        </w:rPr>
        <w:t>infecciones</w:t>
      </w:r>
      <w:proofErr w:type="spellEnd"/>
      <w:r w:rsidRPr="006A6F7F">
        <w:rPr>
          <w:sz w:val="20"/>
          <w:szCs w:val="20"/>
        </w:rPr>
        <w:t xml:space="preserve"> </w:t>
      </w:r>
      <w:proofErr w:type="spellStart"/>
      <w:r w:rsidRPr="006A6F7F">
        <w:rPr>
          <w:sz w:val="20"/>
          <w:szCs w:val="20"/>
        </w:rPr>
        <w:t>del</w:t>
      </w:r>
      <w:proofErr w:type="spellEnd"/>
      <w:r w:rsidRPr="006A6F7F">
        <w:rPr>
          <w:sz w:val="20"/>
          <w:szCs w:val="20"/>
        </w:rPr>
        <w:t xml:space="preserve"> </w:t>
      </w:r>
      <w:proofErr w:type="gramStart"/>
      <w:r w:rsidRPr="006A6F7F">
        <w:rPr>
          <w:sz w:val="20"/>
          <w:szCs w:val="20"/>
        </w:rPr>
        <w:t>sitio</w:t>
      </w:r>
      <w:proofErr w:type="gramEnd"/>
      <w:r w:rsidRPr="006A6F7F">
        <w:rPr>
          <w:sz w:val="20"/>
          <w:szCs w:val="20"/>
        </w:rPr>
        <w:t xml:space="preserve"> </w:t>
      </w:r>
      <w:proofErr w:type="spellStart"/>
      <w:r w:rsidRPr="006A6F7F">
        <w:rPr>
          <w:sz w:val="20"/>
          <w:szCs w:val="20"/>
        </w:rPr>
        <w:t>quirúrgico</w:t>
      </w:r>
      <w:proofErr w:type="spellEnd"/>
      <w:r w:rsidRPr="006A6F7F">
        <w:rPr>
          <w:sz w:val="20"/>
          <w:szCs w:val="20"/>
        </w:rPr>
        <w:t xml:space="preserve"> </w:t>
      </w:r>
      <w:proofErr w:type="spellStart"/>
      <w:r w:rsidRPr="006A6F7F">
        <w:rPr>
          <w:sz w:val="20"/>
          <w:szCs w:val="20"/>
        </w:rPr>
        <w:t>en</w:t>
      </w:r>
      <w:proofErr w:type="spellEnd"/>
      <w:r w:rsidRPr="006A6F7F">
        <w:rPr>
          <w:sz w:val="20"/>
          <w:szCs w:val="20"/>
        </w:rPr>
        <w:t xml:space="preserve"> esta </w:t>
      </w:r>
      <w:proofErr w:type="spellStart"/>
      <w:r w:rsidRPr="006A6F7F">
        <w:rPr>
          <w:sz w:val="20"/>
          <w:szCs w:val="20"/>
        </w:rPr>
        <w:t>cirugía</w:t>
      </w:r>
      <w:proofErr w:type="spellEnd"/>
      <w:r w:rsidRPr="006A6F7F">
        <w:rPr>
          <w:sz w:val="20"/>
          <w:szCs w:val="20"/>
        </w:rPr>
        <w:t xml:space="preserve">. </w:t>
      </w:r>
      <w:r w:rsidRPr="006A6F7F">
        <w:rPr>
          <w:b/>
          <w:bCs/>
          <w:sz w:val="20"/>
          <w:szCs w:val="20"/>
        </w:rPr>
        <w:t>Objetivos</w:t>
      </w:r>
      <w:r w:rsidRPr="006A6F7F">
        <w:rPr>
          <w:sz w:val="20"/>
          <w:szCs w:val="20"/>
        </w:rPr>
        <w:t xml:space="preserve">: Mapear la evidencia sobre los </w:t>
      </w:r>
      <w:proofErr w:type="spellStart"/>
      <w:r w:rsidRPr="006A6F7F">
        <w:rPr>
          <w:sz w:val="20"/>
          <w:szCs w:val="20"/>
        </w:rPr>
        <w:t>factores</w:t>
      </w:r>
      <w:proofErr w:type="spellEnd"/>
      <w:r w:rsidRPr="006A6F7F">
        <w:rPr>
          <w:sz w:val="20"/>
          <w:szCs w:val="20"/>
        </w:rPr>
        <w:t xml:space="preserve"> de </w:t>
      </w:r>
      <w:proofErr w:type="spellStart"/>
      <w:r w:rsidRPr="006A6F7F">
        <w:rPr>
          <w:sz w:val="20"/>
          <w:szCs w:val="20"/>
        </w:rPr>
        <w:t>riesgo</w:t>
      </w:r>
      <w:proofErr w:type="spellEnd"/>
      <w:r w:rsidRPr="006A6F7F">
        <w:rPr>
          <w:sz w:val="20"/>
          <w:szCs w:val="20"/>
        </w:rPr>
        <w:t xml:space="preserve"> de ISQ </w:t>
      </w:r>
      <w:proofErr w:type="spellStart"/>
      <w:r w:rsidRPr="006A6F7F">
        <w:rPr>
          <w:sz w:val="20"/>
          <w:szCs w:val="20"/>
        </w:rPr>
        <w:t>en</w:t>
      </w:r>
      <w:proofErr w:type="spellEnd"/>
      <w:r w:rsidRPr="006A6F7F">
        <w:rPr>
          <w:sz w:val="20"/>
          <w:szCs w:val="20"/>
        </w:rPr>
        <w:t xml:space="preserve"> personas </w:t>
      </w:r>
      <w:proofErr w:type="spellStart"/>
      <w:r w:rsidRPr="006A6F7F">
        <w:rPr>
          <w:sz w:val="20"/>
          <w:szCs w:val="20"/>
        </w:rPr>
        <w:t>sometidas</w:t>
      </w:r>
      <w:proofErr w:type="spellEnd"/>
      <w:r w:rsidRPr="006A6F7F">
        <w:rPr>
          <w:sz w:val="20"/>
          <w:szCs w:val="20"/>
        </w:rPr>
        <w:t xml:space="preserve"> a </w:t>
      </w:r>
      <w:proofErr w:type="spellStart"/>
      <w:r w:rsidRPr="006A6F7F">
        <w:rPr>
          <w:sz w:val="20"/>
          <w:szCs w:val="20"/>
        </w:rPr>
        <w:t>Artroplastia</w:t>
      </w:r>
      <w:proofErr w:type="spellEnd"/>
      <w:r w:rsidRPr="006A6F7F">
        <w:rPr>
          <w:sz w:val="20"/>
          <w:szCs w:val="20"/>
        </w:rPr>
        <w:t xml:space="preserve"> de </w:t>
      </w:r>
      <w:proofErr w:type="spellStart"/>
      <w:r w:rsidRPr="006A6F7F">
        <w:rPr>
          <w:sz w:val="20"/>
          <w:szCs w:val="20"/>
        </w:rPr>
        <w:t>Reemplazo</w:t>
      </w:r>
      <w:proofErr w:type="spellEnd"/>
      <w:r w:rsidRPr="006A6F7F">
        <w:rPr>
          <w:sz w:val="20"/>
          <w:szCs w:val="20"/>
        </w:rPr>
        <w:t xml:space="preserve"> de </w:t>
      </w:r>
      <w:proofErr w:type="spellStart"/>
      <w:r w:rsidRPr="006A6F7F">
        <w:rPr>
          <w:sz w:val="20"/>
          <w:szCs w:val="20"/>
        </w:rPr>
        <w:t>Rodilla</w:t>
      </w:r>
      <w:proofErr w:type="spellEnd"/>
      <w:r w:rsidRPr="006A6F7F">
        <w:rPr>
          <w:sz w:val="20"/>
          <w:szCs w:val="20"/>
        </w:rPr>
        <w:t xml:space="preserve">. </w:t>
      </w:r>
      <w:proofErr w:type="spellStart"/>
      <w:r w:rsidRPr="006A6F7F">
        <w:rPr>
          <w:b/>
          <w:bCs/>
          <w:sz w:val="20"/>
          <w:szCs w:val="20"/>
        </w:rPr>
        <w:t>Metodología</w:t>
      </w:r>
      <w:proofErr w:type="spellEnd"/>
      <w:r w:rsidRPr="006A6F7F">
        <w:rPr>
          <w:sz w:val="20"/>
          <w:szCs w:val="20"/>
        </w:rPr>
        <w:t xml:space="preserve">: </w:t>
      </w:r>
      <w:proofErr w:type="spellStart"/>
      <w:r w:rsidRPr="006A6F7F">
        <w:rPr>
          <w:sz w:val="20"/>
          <w:szCs w:val="20"/>
        </w:rPr>
        <w:t>Revisión</w:t>
      </w:r>
      <w:proofErr w:type="spellEnd"/>
      <w:r w:rsidRPr="006A6F7F">
        <w:rPr>
          <w:sz w:val="20"/>
          <w:szCs w:val="20"/>
        </w:rPr>
        <w:t xml:space="preserve"> </w:t>
      </w:r>
      <w:proofErr w:type="spellStart"/>
      <w:r w:rsidRPr="006A6F7F">
        <w:rPr>
          <w:sz w:val="20"/>
          <w:szCs w:val="20"/>
        </w:rPr>
        <w:t>del</w:t>
      </w:r>
      <w:proofErr w:type="spellEnd"/>
      <w:r w:rsidRPr="006A6F7F">
        <w:rPr>
          <w:sz w:val="20"/>
          <w:szCs w:val="20"/>
        </w:rPr>
        <w:t xml:space="preserve"> alcance guiada por la </w:t>
      </w:r>
      <w:proofErr w:type="spellStart"/>
      <w:r w:rsidRPr="006A6F7F">
        <w:rPr>
          <w:sz w:val="20"/>
          <w:szCs w:val="20"/>
        </w:rPr>
        <w:t>metodología</w:t>
      </w:r>
      <w:proofErr w:type="spellEnd"/>
      <w:r w:rsidRPr="006A6F7F">
        <w:rPr>
          <w:sz w:val="20"/>
          <w:szCs w:val="20"/>
        </w:rPr>
        <w:t xml:space="preserve"> </w:t>
      </w:r>
      <w:proofErr w:type="spellStart"/>
      <w:r w:rsidRPr="006A6F7F">
        <w:rPr>
          <w:sz w:val="20"/>
          <w:szCs w:val="20"/>
        </w:rPr>
        <w:t>del</w:t>
      </w:r>
      <w:proofErr w:type="spellEnd"/>
      <w:r w:rsidRPr="006A6F7F">
        <w:rPr>
          <w:sz w:val="20"/>
          <w:szCs w:val="20"/>
        </w:rPr>
        <w:t xml:space="preserve"> Instituto Joanna </w:t>
      </w:r>
      <w:proofErr w:type="spellStart"/>
      <w:r w:rsidRPr="006A6F7F">
        <w:rPr>
          <w:sz w:val="20"/>
          <w:szCs w:val="20"/>
        </w:rPr>
        <w:t>Briggs</w:t>
      </w:r>
      <w:proofErr w:type="spellEnd"/>
      <w:r w:rsidRPr="006A6F7F">
        <w:rPr>
          <w:sz w:val="20"/>
          <w:szCs w:val="20"/>
        </w:rPr>
        <w:t xml:space="preserve">. </w:t>
      </w:r>
      <w:proofErr w:type="spellStart"/>
      <w:r w:rsidRPr="006A6F7F">
        <w:rPr>
          <w:sz w:val="20"/>
          <w:szCs w:val="20"/>
        </w:rPr>
        <w:t>Límite</w:t>
      </w:r>
      <w:proofErr w:type="spellEnd"/>
      <w:r w:rsidRPr="006A6F7F">
        <w:rPr>
          <w:sz w:val="20"/>
          <w:szCs w:val="20"/>
        </w:rPr>
        <w:t xml:space="preserve"> de </w:t>
      </w:r>
      <w:proofErr w:type="spellStart"/>
      <w:r w:rsidRPr="006A6F7F">
        <w:rPr>
          <w:sz w:val="20"/>
          <w:szCs w:val="20"/>
        </w:rPr>
        <w:t>tiempo</w:t>
      </w:r>
      <w:proofErr w:type="spellEnd"/>
      <w:r w:rsidRPr="006A6F7F">
        <w:rPr>
          <w:sz w:val="20"/>
          <w:szCs w:val="20"/>
        </w:rPr>
        <w:t xml:space="preserve"> aplicado de 2018 a 2024, </w:t>
      </w:r>
      <w:proofErr w:type="spellStart"/>
      <w:r w:rsidRPr="006A6F7F">
        <w:rPr>
          <w:sz w:val="20"/>
          <w:szCs w:val="20"/>
        </w:rPr>
        <w:t>con</w:t>
      </w:r>
      <w:proofErr w:type="spellEnd"/>
      <w:r w:rsidRPr="006A6F7F">
        <w:rPr>
          <w:sz w:val="20"/>
          <w:szCs w:val="20"/>
        </w:rPr>
        <w:t xml:space="preserve"> base </w:t>
      </w:r>
      <w:proofErr w:type="spellStart"/>
      <w:r w:rsidRPr="006A6F7F">
        <w:rPr>
          <w:sz w:val="20"/>
          <w:szCs w:val="20"/>
        </w:rPr>
        <w:t>en</w:t>
      </w:r>
      <w:proofErr w:type="spellEnd"/>
      <w:r w:rsidRPr="006A6F7F">
        <w:rPr>
          <w:sz w:val="20"/>
          <w:szCs w:val="20"/>
        </w:rPr>
        <w:t xml:space="preserve"> una </w:t>
      </w:r>
      <w:proofErr w:type="spellStart"/>
      <w:r w:rsidRPr="006A6F7F">
        <w:rPr>
          <w:sz w:val="20"/>
          <w:szCs w:val="20"/>
        </w:rPr>
        <w:t>revisión</w:t>
      </w:r>
      <w:proofErr w:type="spellEnd"/>
      <w:r w:rsidRPr="006A6F7F">
        <w:rPr>
          <w:sz w:val="20"/>
          <w:szCs w:val="20"/>
        </w:rPr>
        <w:t xml:space="preserve"> identificada sobre este tema. </w:t>
      </w:r>
      <w:r w:rsidRPr="006A6F7F">
        <w:rPr>
          <w:b/>
          <w:bCs/>
          <w:sz w:val="20"/>
          <w:szCs w:val="20"/>
        </w:rPr>
        <w:t>Resultados</w:t>
      </w:r>
      <w:r w:rsidRPr="006A6F7F">
        <w:rPr>
          <w:sz w:val="20"/>
          <w:szCs w:val="20"/>
        </w:rPr>
        <w:t xml:space="preserve">: Se </w:t>
      </w:r>
      <w:proofErr w:type="spellStart"/>
      <w:r w:rsidRPr="006A6F7F">
        <w:rPr>
          <w:sz w:val="20"/>
          <w:szCs w:val="20"/>
        </w:rPr>
        <w:t>incluyeron</w:t>
      </w:r>
      <w:proofErr w:type="spellEnd"/>
      <w:r w:rsidRPr="006A6F7F">
        <w:rPr>
          <w:sz w:val="20"/>
          <w:szCs w:val="20"/>
        </w:rPr>
        <w:t xml:space="preserve"> 27 artículos </w:t>
      </w:r>
      <w:proofErr w:type="spellStart"/>
      <w:r w:rsidRPr="006A6F7F">
        <w:rPr>
          <w:sz w:val="20"/>
          <w:szCs w:val="20"/>
        </w:rPr>
        <w:t>en</w:t>
      </w:r>
      <w:proofErr w:type="spellEnd"/>
      <w:r w:rsidRPr="006A6F7F">
        <w:rPr>
          <w:sz w:val="20"/>
          <w:szCs w:val="20"/>
        </w:rPr>
        <w:t xml:space="preserve"> la </w:t>
      </w:r>
      <w:proofErr w:type="spellStart"/>
      <w:r w:rsidRPr="006A6F7F">
        <w:rPr>
          <w:sz w:val="20"/>
          <w:szCs w:val="20"/>
        </w:rPr>
        <w:t>revisión</w:t>
      </w:r>
      <w:proofErr w:type="spellEnd"/>
      <w:r w:rsidRPr="006A6F7F">
        <w:rPr>
          <w:sz w:val="20"/>
          <w:szCs w:val="20"/>
        </w:rPr>
        <w:t xml:space="preserve"> y se </w:t>
      </w:r>
      <w:proofErr w:type="spellStart"/>
      <w:r w:rsidRPr="006A6F7F">
        <w:rPr>
          <w:sz w:val="20"/>
          <w:szCs w:val="20"/>
        </w:rPr>
        <w:t>identificaron</w:t>
      </w:r>
      <w:proofErr w:type="spellEnd"/>
      <w:r w:rsidRPr="006A6F7F">
        <w:rPr>
          <w:sz w:val="20"/>
          <w:szCs w:val="20"/>
        </w:rPr>
        <w:t xml:space="preserve"> </w:t>
      </w:r>
      <w:proofErr w:type="spellStart"/>
      <w:r w:rsidRPr="006A6F7F">
        <w:rPr>
          <w:sz w:val="20"/>
          <w:szCs w:val="20"/>
        </w:rPr>
        <w:t>factores</w:t>
      </w:r>
      <w:proofErr w:type="spellEnd"/>
      <w:r w:rsidRPr="006A6F7F">
        <w:rPr>
          <w:sz w:val="20"/>
          <w:szCs w:val="20"/>
        </w:rPr>
        <w:t xml:space="preserve"> de </w:t>
      </w:r>
      <w:proofErr w:type="spellStart"/>
      <w:r w:rsidRPr="006A6F7F">
        <w:rPr>
          <w:sz w:val="20"/>
          <w:szCs w:val="20"/>
        </w:rPr>
        <w:t>riesgo</w:t>
      </w:r>
      <w:proofErr w:type="spellEnd"/>
      <w:r w:rsidRPr="006A6F7F">
        <w:rPr>
          <w:sz w:val="20"/>
          <w:szCs w:val="20"/>
        </w:rPr>
        <w:t xml:space="preserve"> </w:t>
      </w:r>
      <w:proofErr w:type="spellStart"/>
      <w:r w:rsidRPr="006A6F7F">
        <w:rPr>
          <w:sz w:val="20"/>
          <w:szCs w:val="20"/>
        </w:rPr>
        <w:t>modificables</w:t>
      </w:r>
      <w:proofErr w:type="spellEnd"/>
      <w:r w:rsidRPr="006A6F7F">
        <w:rPr>
          <w:sz w:val="20"/>
          <w:szCs w:val="20"/>
        </w:rPr>
        <w:t xml:space="preserve"> y no </w:t>
      </w:r>
      <w:proofErr w:type="spellStart"/>
      <w:r w:rsidRPr="006A6F7F">
        <w:rPr>
          <w:sz w:val="20"/>
          <w:szCs w:val="20"/>
        </w:rPr>
        <w:t>modificables</w:t>
      </w:r>
      <w:proofErr w:type="spellEnd"/>
      <w:r w:rsidRPr="006A6F7F">
        <w:rPr>
          <w:sz w:val="20"/>
          <w:szCs w:val="20"/>
        </w:rPr>
        <w:t xml:space="preserve"> </w:t>
      </w:r>
      <w:proofErr w:type="spellStart"/>
      <w:r w:rsidRPr="006A6F7F">
        <w:rPr>
          <w:sz w:val="20"/>
          <w:szCs w:val="20"/>
        </w:rPr>
        <w:t>en</w:t>
      </w:r>
      <w:proofErr w:type="spellEnd"/>
      <w:r w:rsidRPr="006A6F7F">
        <w:rPr>
          <w:sz w:val="20"/>
          <w:szCs w:val="20"/>
        </w:rPr>
        <w:t xml:space="preserve"> el período </w:t>
      </w:r>
      <w:proofErr w:type="spellStart"/>
      <w:r w:rsidRPr="006A6F7F">
        <w:rPr>
          <w:sz w:val="20"/>
          <w:szCs w:val="20"/>
        </w:rPr>
        <w:t>perioperatorio</w:t>
      </w:r>
      <w:proofErr w:type="spellEnd"/>
      <w:r w:rsidRPr="006A6F7F">
        <w:rPr>
          <w:sz w:val="20"/>
          <w:szCs w:val="20"/>
        </w:rPr>
        <w:t xml:space="preserve">. Las habilidades </w:t>
      </w:r>
      <w:proofErr w:type="spellStart"/>
      <w:r w:rsidRPr="006A6F7F">
        <w:rPr>
          <w:sz w:val="20"/>
          <w:szCs w:val="20"/>
        </w:rPr>
        <w:t>avanzadas</w:t>
      </w:r>
      <w:proofErr w:type="spellEnd"/>
      <w:r w:rsidRPr="006A6F7F">
        <w:rPr>
          <w:sz w:val="20"/>
          <w:szCs w:val="20"/>
        </w:rPr>
        <w:t xml:space="preserve"> de la </w:t>
      </w:r>
      <w:proofErr w:type="spellStart"/>
      <w:r w:rsidRPr="006A6F7F">
        <w:rPr>
          <w:sz w:val="20"/>
          <w:szCs w:val="20"/>
        </w:rPr>
        <w:t>enfermera</w:t>
      </w:r>
      <w:proofErr w:type="spellEnd"/>
      <w:r w:rsidRPr="006A6F7F">
        <w:rPr>
          <w:sz w:val="20"/>
          <w:szCs w:val="20"/>
        </w:rPr>
        <w:t xml:space="preserve"> especialista para minimizar/eliminar el </w:t>
      </w:r>
      <w:proofErr w:type="spellStart"/>
      <w:r w:rsidRPr="006A6F7F">
        <w:rPr>
          <w:sz w:val="20"/>
          <w:szCs w:val="20"/>
        </w:rPr>
        <w:t>riesgo</w:t>
      </w:r>
      <w:proofErr w:type="spellEnd"/>
      <w:r w:rsidRPr="006A6F7F">
        <w:rPr>
          <w:sz w:val="20"/>
          <w:szCs w:val="20"/>
        </w:rPr>
        <w:t xml:space="preserve"> de ISQ </w:t>
      </w:r>
      <w:proofErr w:type="spellStart"/>
      <w:r w:rsidRPr="006A6F7F">
        <w:rPr>
          <w:sz w:val="20"/>
          <w:szCs w:val="20"/>
        </w:rPr>
        <w:t>son</w:t>
      </w:r>
      <w:proofErr w:type="spellEnd"/>
      <w:r w:rsidRPr="006A6F7F">
        <w:rPr>
          <w:sz w:val="20"/>
          <w:szCs w:val="20"/>
        </w:rPr>
        <w:t xml:space="preserve"> </w:t>
      </w:r>
      <w:proofErr w:type="spellStart"/>
      <w:r w:rsidRPr="006A6F7F">
        <w:rPr>
          <w:sz w:val="20"/>
          <w:szCs w:val="20"/>
        </w:rPr>
        <w:t>fundamentales</w:t>
      </w:r>
      <w:proofErr w:type="spellEnd"/>
      <w:r w:rsidRPr="006A6F7F">
        <w:rPr>
          <w:sz w:val="20"/>
          <w:szCs w:val="20"/>
        </w:rPr>
        <w:t xml:space="preserve">, especialmente </w:t>
      </w:r>
      <w:proofErr w:type="spellStart"/>
      <w:r w:rsidRPr="006A6F7F">
        <w:rPr>
          <w:sz w:val="20"/>
          <w:szCs w:val="20"/>
        </w:rPr>
        <w:t>en</w:t>
      </w:r>
      <w:proofErr w:type="spellEnd"/>
      <w:r w:rsidRPr="006A6F7F">
        <w:rPr>
          <w:sz w:val="20"/>
          <w:szCs w:val="20"/>
        </w:rPr>
        <w:t xml:space="preserve"> </w:t>
      </w:r>
      <w:proofErr w:type="spellStart"/>
      <w:r w:rsidRPr="006A6F7F">
        <w:rPr>
          <w:sz w:val="20"/>
          <w:szCs w:val="20"/>
        </w:rPr>
        <w:t>factores</w:t>
      </w:r>
      <w:proofErr w:type="spellEnd"/>
      <w:r w:rsidRPr="006A6F7F">
        <w:rPr>
          <w:sz w:val="20"/>
          <w:szCs w:val="20"/>
        </w:rPr>
        <w:t xml:space="preserve"> de </w:t>
      </w:r>
      <w:proofErr w:type="spellStart"/>
      <w:r w:rsidRPr="006A6F7F">
        <w:rPr>
          <w:sz w:val="20"/>
          <w:szCs w:val="20"/>
        </w:rPr>
        <w:t>riesgo</w:t>
      </w:r>
      <w:proofErr w:type="spellEnd"/>
      <w:r w:rsidRPr="006A6F7F">
        <w:rPr>
          <w:sz w:val="20"/>
          <w:szCs w:val="20"/>
        </w:rPr>
        <w:t xml:space="preserve"> </w:t>
      </w:r>
      <w:proofErr w:type="spellStart"/>
      <w:r w:rsidRPr="006A6F7F">
        <w:rPr>
          <w:sz w:val="20"/>
          <w:szCs w:val="20"/>
        </w:rPr>
        <w:t>modificables</w:t>
      </w:r>
      <w:proofErr w:type="spellEnd"/>
      <w:r w:rsidRPr="006A6F7F">
        <w:rPr>
          <w:sz w:val="20"/>
          <w:szCs w:val="20"/>
        </w:rPr>
        <w:t xml:space="preserve">. </w:t>
      </w:r>
      <w:proofErr w:type="spellStart"/>
      <w:r w:rsidRPr="006A6F7F">
        <w:rPr>
          <w:b/>
          <w:bCs/>
          <w:sz w:val="20"/>
          <w:szCs w:val="20"/>
        </w:rPr>
        <w:t>Conclusión</w:t>
      </w:r>
      <w:proofErr w:type="spellEnd"/>
      <w:r w:rsidRPr="006A6F7F">
        <w:rPr>
          <w:sz w:val="20"/>
          <w:szCs w:val="20"/>
        </w:rPr>
        <w:t xml:space="preserve">: Los </w:t>
      </w:r>
      <w:proofErr w:type="spellStart"/>
      <w:r w:rsidRPr="006A6F7F">
        <w:rPr>
          <w:sz w:val="20"/>
          <w:szCs w:val="20"/>
        </w:rPr>
        <w:t>factores</w:t>
      </w:r>
      <w:proofErr w:type="spellEnd"/>
      <w:r w:rsidRPr="006A6F7F">
        <w:rPr>
          <w:sz w:val="20"/>
          <w:szCs w:val="20"/>
        </w:rPr>
        <w:t xml:space="preserve"> de </w:t>
      </w:r>
      <w:proofErr w:type="spellStart"/>
      <w:r w:rsidRPr="006A6F7F">
        <w:rPr>
          <w:sz w:val="20"/>
          <w:szCs w:val="20"/>
        </w:rPr>
        <w:t>riesgo</w:t>
      </w:r>
      <w:proofErr w:type="spellEnd"/>
      <w:r w:rsidRPr="006A6F7F">
        <w:rPr>
          <w:sz w:val="20"/>
          <w:szCs w:val="20"/>
        </w:rPr>
        <w:t xml:space="preserve"> </w:t>
      </w:r>
      <w:proofErr w:type="spellStart"/>
      <w:r w:rsidRPr="006A6F7F">
        <w:rPr>
          <w:sz w:val="20"/>
          <w:szCs w:val="20"/>
        </w:rPr>
        <w:t>están</w:t>
      </w:r>
      <w:proofErr w:type="spellEnd"/>
      <w:r w:rsidRPr="006A6F7F">
        <w:rPr>
          <w:sz w:val="20"/>
          <w:szCs w:val="20"/>
        </w:rPr>
        <w:t xml:space="preserve"> presentes </w:t>
      </w:r>
      <w:proofErr w:type="spellStart"/>
      <w:r w:rsidRPr="006A6F7F">
        <w:rPr>
          <w:sz w:val="20"/>
          <w:szCs w:val="20"/>
        </w:rPr>
        <w:t>en</w:t>
      </w:r>
      <w:proofErr w:type="spellEnd"/>
      <w:r w:rsidRPr="006A6F7F">
        <w:rPr>
          <w:sz w:val="20"/>
          <w:szCs w:val="20"/>
        </w:rPr>
        <w:t xml:space="preserve"> el período </w:t>
      </w:r>
      <w:proofErr w:type="spellStart"/>
      <w:r w:rsidRPr="006A6F7F">
        <w:rPr>
          <w:sz w:val="20"/>
          <w:szCs w:val="20"/>
        </w:rPr>
        <w:t>perioperatorio</w:t>
      </w:r>
      <w:proofErr w:type="spellEnd"/>
      <w:r w:rsidRPr="006A6F7F">
        <w:rPr>
          <w:sz w:val="20"/>
          <w:szCs w:val="20"/>
        </w:rPr>
        <w:t xml:space="preserve">, </w:t>
      </w:r>
      <w:proofErr w:type="spellStart"/>
      <w:r w:rsidRPr="006A6F7F">
        <w:rPr>
          <w:sz w:val="20"/>
          <w:szCs w:val="20"/>
        </w:rPr>
        <w:t>siendo</w:t>
      </w:r>
      <w:proofErr w:type="spellEnd"/>
      <w:r w:rsidRPr="006A6F7F">
        <w:rPr>
          <w:sz w:val="20"/>
          <w:szCs w:val="20"/>
        </w:rPr>
        <w:t xml:space="preserve"> </w:t>
      </w:r>
      <w:proofErr w:type="spellStart"/>
      <w:r w:rsidRPr="006A6F7F">
        <w:rPr>
          <w:sz w:val="20"/>
          <w:szCs w:val="20"/>
        </w:rPr>
        <w:t>algunos</w:t>
      </w:r>
      <w:proofErr w:type="spellEnd"/>
      <w:r w:rsidRPr="006A6F7F">
        <w:rPr>
          <w:sz w:val="20"/>
          <w:szCs w:val="20"/>
        </w:rPr>
        <w:t xml:space="preserve"> intrínsecos a la </w:t>
      </w:r>
      <w:proofErr w:type="spellStart"/>
      <w:r w:rsidRPr="006A6F7F">
        <w:rPr>
          <w:sz w:val="20"/>
          <w:szCs w:val="20"/>
        </w:rPr>
        <w:t>propia</w:t>
      </w:r>
      <w:proofErr w:type="spellEnd"/>
      <w:r w:rsidRPr="006A6F7F">
        <w:rPr>
          <w:sz w:val="20"/>
          <w:szCs w:val="20"/>
        </w:rPr>
        <w:t xml:space="preserve"> persona y </w:t>
      </w:r>
      <w:proofErr w:type="spellStart"/>
      <w:r w:rsidRPr="006A6F7F">
        <w:rPr>
          <w:sz w:val="20"/>
          <w:szCs w:val="20"/>
        </w:rPr>
        <w:t>otros</w:t>
      </w:r>
      <w:proofErr w:type="spellEnd"/>
      <w:r w:rsidRPr="006A6F7F">
        <w:rPr>
          <w:sz w:val="20"/>
          <w:szCs w:val="20"/>
        </w:rPr>
        <w:t xml:space="preserve"> derivados de la </w:t>
      </w:r>
      <w:proofErr w:type="spellStart"/>
      <w:r w:rsidRPr="006A6F7F">
        <w:rPr>
          <w:sz w:val="20"/>
          <w:szCs w:val="20"/>
        </w:rPr>
        <w:t>práctica</w:t>
      </w:r>
      <w:proofErr w:type="spellEnd"/>
      <w:r w:rsidRPr="006A6F7F">
        <w:rPr>
          <w:sz w:val="20"/>
          <w:szCs w:val="20"/>
        </w:rPr>
        <w:t xml:space="preserve"> de los </w:t>
      </w:r>
      <w:proofErr w:type="spellStart"/>
      <w:r w:rsidRPr="006A6F7F">
        <w:rPr>
          <w:sz w:val="20"/>
          <w:szCs w:val="20"/>
        </w:rPr>
        <w:t>propios</w:t>
      </w:r>
      <w:proofErr w:type="spellEnd"/>
      <w:r w:rsidRPr="006A6F7F">
        <w:rPr>
          <w:sz w:val="20"/>
          <w:szCs w:val="20"/>
        </w:rPr>
        <w:t xml:space="preserve"> </w:t>
      </w:r>
      <w:proofErr w:type="spellStart"/>
      <w:r w:rsidRPr="006A6F7F">
        <w:rPr>
          <w:sz w:val="20"/>
          <w:szCs w:val="20"/>
        </w:rPr>
        <w:t>profesionales</w:t>
      </w:r>
      <w:proofErr w:type="spellEnd"/>
      <w:r w:rsidRPr="006A6F7F">
        <w:rPr>
          <w:sz w:val="20"/>
          <w:szCs w:val="20"/>
        </w:rPr>
        <w:t xml:space="preserve"> de la </w:t>
      </w:r>
      <w:proofErr w:type="spellStart"/>
      <w:r w:rsidRPr="006A6F7F">
        <w:rPr>
          <w:sz w:val="20"/>
          <w:szCs w:val="20"/>
        </w:rPr>
        <w:t>salud</w:t>
      </w:r>
      <w:proofErr w:type="spellEnd"/>
      <w:r w:rsidRPr="006A6F7F">
        <w:rPr>
          <w:sz w:val="20"/>
          <w:szCs w:val="20"/>
        </w:rPr>
        <w:t xml:space="preserve">, </w:t>
      </w:r>
      <w:proofErr w:type="spellStart"/>
      <w:r w:rsidRPr="006A6F7F">
        <w:rPr>
          <w:sz w:val="20"/>
          <w:szCs w:val="20"/>
        </w:rPr>
        <w:t>poniendo</w:t>
      </w:r>
      <w:proofErr w:type="spellEnd"/>
      <w:r w:rsidRPr="006A6F7F">
        <w:rPr>
          <w:sz w:val="20"/>
          <w:szCs w:val="20"/>
        </w:rPr>
        <w:t xml:space="preserve"> </w:t>
      </w:r>
      <w:proofErr w:type="spellStart"/>
      <w:r w:rsidRPr="006A6F7F">
        <w:rPr>
          <w:sz w:val="20"/>
          <w:szCs w:val="20"/>
        </w:rPr>
        <w:t>en</w:t>
      </w:r>
      <w:proofErr w:type="spellEnd"/>
      <w:r w:rsidRPr="006A6F7F">
        <w:rPr>
          <w:sz w:val="20"/>
          <w:szCs w:val="20"/>
        </w:rPr>
        <w:t xml:space="preserve"> </w:t>
      </w:r>
      <w:proofErr w:type="spellStart"/>
      <w:r w:rsidRPr="006A6F7F">
        <w:rPr>
          <w:sz w:val="20"/>
          <w:szCs w:val="20"/>
        </w:rPr>
        <w:t>riesgo</w:t>
      </w:r>
      <w:proofErr w:type="spellEnd"/>
      <w:r w:rsidRPr="006A6F7F">
        <w:rPr>
          <w:sz w:val="20"/>
          <w:szCs w:val="20"/>
        </w:rPr>
        <w:t xml:space="preserve"> la </w:t>
      </w:r>
      <w:proofErr w:type="spellStart"/>
      <w:r w:rsidRPr="006A6F7F">
        <w:rPr>
          <w:sz w:val="20"/>
          <w:szCs w:val="20"/>
        </w:rPr>
        <w:t>seguridad</w:t>
      </w:r>
      <w:proofErr w:type="spellEnd"/>
      <w:r w:rsidRPr="006A6F7F">
        <w:rPr>
          <w:sz w:val="20"/>
          <w:szCs w:val="20"/>
        </w:rPr>
        <w:t xml:space="preserve"> </w:t>
      </w:r>
      <w:proofErr w:type="spellStart"/>
      <w:r w:rsidRPr="006A6F7F">
        <w:rPr>
          <w:sz w:val="20"/>
          <w:szCs w:val="20"/>
        </w:rPr>
        <w:t>quirúrgica</w:t>
      </w:r>
      <w:proofErr w:type="spellEnd"/>
      <w:r w:rsidRPr="006A6F7F">
        <w:rPr>
          <w:sz w:val="20"/>
          <w:szCs w:val="20"/>
        </w:rPr>
        <w:t>.</w:t>
      </w:r>
    </w:p>
    <w:p w14:paraId="154DB074" w14:textId="77777777" w:rsidR="00224C39" w:rsidRPr="006A6F7F" w:rsidRDefault="00224C39" w:rsidP="00FA7FFA">
      <w:pPr>
        <w:spacing w:after="0" w:line="240" w:lineRule="auto"/>
        <w:ind w:left="1985" w:right="-170"/>
        <w:jc w:val="both"/>
        <w:rPr>
          <w:rFonts w:cstheme="minorHAnsi"/>
          <w:sz w:val="20"/>
          <w:szCs w:val="20"/>
        </w:rPr>
      </w:pPr>
      <w:proofErr w:type="spellStart"/>
      <w:r w:rsidRPr="006A6F7F">
        <w:rPr>
          <w:rFonts w:cstheme="minorHAnsi"/>
          <w:b/>
          <w:bCs/>
          <w:sz w:val="20"/>
          <w:szCs w:val="20"/>
        </w:rPr>
        <w:t>Palabra</w:t>
      </w:r>
      <w:proofErr w:type="spellEnd"/>
      <w:r w:rsidRPr="006A6F7F">
        <w:rPr>
          <w:rFonts w:cstheme="minorHAnsi"/>
          <w:b/>
          <w:bCs/>
          <w:sz w:val="20"/>
          <w:szCs w:val="20"/>
        </w:rPr>
        <w:t xml:space="preserve"> clave</w:t>
      </w:r>
      <w:r w:rsidRPr="006A6F7F">
        <w:rPr>
          <w:rFonts w:cstheme="minorHAnsi"/>
          <w:sz w:val="20"/>
          <w:szCs w:val="20"/>
        </w:rPr>
        <w:t xml:space="preserve">: </w:t>
      </w:r>
      <w:proofErr w:type="spellStart"/>
      <w:r w:rsidRPr="006A6F7F">
        <w:rPr>
          <w:rFonts w:cstheme="minorHAnsi"/>
          <w:sz w:val="20"/>
          <w:szCs w:val="20"/>
        </w:rPr>
        <w:t>artroplastia</w:t>
      </w:r>
      <w:proofErr w:type="spellEnd"/>
      <w:r w:rsidRPr="006A6F7F">
        <w:rPr>
          <w:rFonts w:cstheme="minorHAnsi"/>
          <w:sz w:val="20"/>
          <w:szCs w:val="20"/>
        </w:rPr>
        <w:t xml:space="preserve"> de </w:t>
      </w:r>
      <w:proofErr w:type="spellStart"/>
      <w:r w:rsidRPr="006A6F7F">
        <w:rPr>
          <w:rFonts w:cstheme="minorHAnsi"/>
          <w:sz w:val="20"/>
          <w:szCs w:val="20"/>
        </w:rPr>
        <w:t>reemplazo</w:t>
      </w:r>
      <w:proofErr w:type="spellEnd"/>
      <w:r w:rsidRPr="006A6F7F">
        <w:rPr>
          <w:rFonts w:cstheme="minorHAnsi"/>
          <w:sz w:val="20"/>
          <w:szCs w:val="20"/>
        </w:rPr>
        <w:t xml:space="preserve"> de </w:t>
      </w:r>
      <w:proofErr w:type="spellStart"/>
      <w:r w:rsidRPr="006A6F7F">
        <w:rPr>
          <w:rFonts w:cstheme="minorHAnsi"/>
          <w:sz w:val="20"/>
          <w:szCs w:val="20"/>
        </w:rPr>
        <w:t>rodilla</w:t>
      </w:r>
      <w:proofErr w:type="spellEnd"/>
      <w:r w:rsidRPr="006A6F7F">
        <w:rPr>
          <w:rFonts w:cstheme="minorHAnsi"/>
          <w:sz w:val="20"/>
          <w:szCs w:val="20"/>
        </w:rPr>
        <w:t xml:space="preserve">; </w:t>
      </w:r>
      <w:proofErr w:type="spellStart"/>
      <w:r w:rsidRPr="006A6F7F">
        <w:rPr>
          <w:rFonts w:cstheme="minorHAnsi"/>
          <w:sz w:val="20"/>
          <w:szCs w:val="20"/>
        </w:rPr>
        <w:t>factores</w:t>
      </w:r>
      <w:proofErr w:type="spellEnd"/>
      <w:r w:rsidRPr="006A6F7F">
        <w:rPr>
          <w:rFonts w:cstheme="minorHAnsi"/>
          <w:sz w:val="20"/>
          <w:szCs w:val="20"/>
        </w:rPr>
        <w:t xml:space="preserve"> de </w:t>
      </w:r>
      <w:proofErr w:type="spellStart"/>
      <w:r w:rsidRPr="006A6F7F">
        <w:rPr>
          <w:rFonts w:cstheme="minorHAnsi"/>
          <w:sz w:val="20"/>
          <w:szCs w:val="20"/>
        </w:rPr>
        <w:t>riesgo</w:t>
      </w:r>
      <w:proofErr w:type="spellEnd"/>
      <w:r w:rsidRPr="006A6F7F">
        <w:rPr>
          <w:rFonts w:cstheme="minorHAnsi"/>
          <w:sz w:val="20"/>
          <w:szCs w:val="20"/>
        </w:rPr>
        <w:t xml:space="preserve">; </w:t>
      </w:r>
      <w:proofErr w:type="spellStart"/>
      <w:r w:rsidRPr="006A6F7F">
        <w:rPr>
          <w:rFonts w:cstheme="minorHAnsi"/>
          <w:sz w:val="20"/>
          <w:szCs w:val="20"/>
        </w:rPr>
        <w:t>infección</w:t>
      </w:r>
      <w:proofErr w:type="spellEnd"/>
      <w:r w:rsidRPr="006A6F7F">
        <w:rPr>
          <w:rFonts w:cstheme="minorHAnsi"/>
          <w:sz w:val="20"/>
          <w:szCs w:val="20"/>
        </w:rPr>
        <w:t xml:space="preserve"> de la </w:t>
      </w:r>
      <w:proofErr w:type="spellStart"/>
      <w:r w:rsidRPr="006A6F7F">
        <w:rPr>
          <w:rFonts w:cstheme="minorHAnsi"/>
          <w:sz w:val="20"/>
          <w:szCs w:val="20"/>
        </w:rPr>
        <w:t>herida</w:t>
      </w:r>
      <w:proofErr w:type="spellEnd"/>
      <w:r w:rsidRPr="006A6F7F">
        <w:rPr>
          <w:rFonts w:cstheme="minorHAnsi"/>
          <w:sz w:val="20"/>
          <w:szCs w:val="20"/>
        </w:rPr>
        <w:t xml:space="preserve"> </w:t>
      </w:r>
      <w:proofErr w:type="spellStart"/>
      <w:r w:rsidRPr="006A6F7F">
        <w:rPr>
          <w:rFonts w:cstheme="minorHAnsi"/>
          <w:sz w:val="20"/>
          <w:szCs w:val="20"/>
        </w:rPr>
        <w:t>quirúrgica</w:t>
      </w:r>
      <w:proofErr w:type="spellEnd"/>
    </w:p>
    <w:p w14:paraId="685DF99C" w14:textId="77777777" w:rsidR="004C6F29" w:rsidRPr="005C427E" w:rsidRDefault="004C6F29" w:rsidP="00034C9E">
      <w:pPr>
        <w:spacing w:after="0" w:line="360" w:lineRule="auto"/>
        <w:jc w:val="both"/>
        <w:rPr>
          <w:rFonts w:cstheme="minorHAnsi"/>
        </w:rPr>
        <w:sectPr w:rsidR="004C6F29" w:rsidRPr="005C427E" w:rsidSect="006A6F7F">
          <w:headerReference w:type="default" r:id="rId14"/>
          <w:footerReference w:type="default" r:id="rId15"/>
          <w:headerReference w:type="first" r:id="rId16"/>
          <w:footerReference w:type="first" r:id="rId17"/>
          <w:pgSz w:w="11906" w:h="16838"/>
          <w:pgMar w:top="1135" w:right="1080" w:bottom="851" w:left="1080" w:header="709" w:footer="454" w:gutter="0"/>
          <w:cols w:space="708"/>
          <w:titlePg/>
          <w:docGrid w:linePitch="360"/>
        </w:sectPr>
      </w:pPr>
    </w:p>
    <w:p w14:paraId="2B0067C0" w14:textId="77777777" w:rsidR="00072610" w:rsidRPr="005C427E" w:rsidRDefault="00072610" w:rsidP="004C6F29">
      <w:pPr>
        <w:spacing w:after="0" w:line="360" w:lineRule="auto"/>
        <w:ind w:left="-170" w:right="-170"/>
        <w:jc w:val="both"/>
        <w:rPr>
          <w:rFonts w:cstheme="minorHAnsi"/>
        </w:rPr>
      </w:pPr>
    </w:p>
    <w:p w14:paraId="0A4E7D1C" w14:textId="77777777" w:rsidR="00072610" w:rsidRPr="005C427E" w:rsidRDefault="00072610" w:rsidP="004C6F29">
      <w:pPr>
        <w:spacing w:after="0" w:line="360" w:lineRule="auto"/>
        <w:ind w:left="-170" w:right="-170"/>
        <w:jc w:val="both"/>
        <w:rPr>
          <w:rFonts w:cstheme="minorHAnsi"/>
        </w:rPr>
      </w:pPr>
    </w:p>
    <w:p w14:paraId="06FE023E" w14:textId="4998E9CF" w:rsidR="00034C9E" w:rsidRPr="00072610" w:rsidRDefault="00034C9E" w:rsidP="00072610">
      <w:pPr>
        <w:spacing w:after="120" w:line="360" w:lineRule="auto"/>
        <w:ind w:left="-170" w:right="-170"/>
        <w:jc w:val="both"/>
        <w:rPr>
          <w:rFonts w:cstheme="minorHAnsi"/>
          <w:b/>
          <w:bCs/>
          <w:lang w:val="en-US"/>
        </w:rPr>
      </w:pPr>
      <w:r w:rsidRPr="00072610">
        <w:rPr>
          <w:rFonts w:cstheme="minorHAnsi"/>
          <w:b/>
          <w:bCs/>
          <w:lang w:val="en-US"/>
        </w:rPr>
        <w:t>INTRODUCTION</w:t>
      </w:r>
    </w:p>
    <w:p w14:paraId="59A8B5E6" w14:textId="77777777" w:rsidR="00034C9E" w:rsidRPr="004C6F29" w:rsidRDefault="00034C9E" w:rsidP="004C6F29">
      <w:pPr>
        <w:spacing w:after="0" w:line="360" w:lineRule="auto"/>
        <w:ind w:left="-170" w:right="-170"/>
        <w:jc w:val="both"/>
        <w:rPr>
          <w:rFonts w:cstheme="minorHAnsi"/>
          <w:lang w:val="en-US"/>
        </w:rPr>
      </w:pPr>
      <w:r w:rsidRPr="004C6F29">
        <w:rPr>
          <w:rFonts w:cstheme="minorHAnsi"/>
          <w:lang w:val="en-US"/>
        </w:rPr>
        <w:t xml:space="preserve">In Portugal, there is a growing trend towards demographic ageing </w:t>
      </w:r>
      <w:proofErr w:type="gramStart"/>
      <w:r w:rsidRPr="004C6F29">
        <w:rPr>
          <w:rFonts w:cstheme="minorHAnsi"/>
          <w:lang w:val="en-US"/>
        </w:rPr>
        <w:t>as a result of</w:t>
      </w:r>
      <w:proofErr w:type="gramEnd"/>
      <w:r w:rsidRPr="004C6F29">
        <w:rPr>
          <w:rFonts w:cstheme="minorHAnsi"/>
          <w:lang w:val="en-US"/>
        </w:rPr>
        <w:t xml:space="preserve"> low birth rates and increased longevity, which is likely to be very significant in the coming decades (Instituto Nacional de </w:t>
      </w:r>
      <w:proofErr w:type="spellStart"/>
      <w:r w:rsidRPr="004C6F29">
        <w:rPr>
          <w:rFonts w:cstheme="minorHAnsi"/>
          <w:lang w:val="en-US"/>
        </w:rPr>
        <w:t>Estatística</w:t>
      </w:r>
      <w:proofErr w:type="spellEnd"/>
      <w:r w:rsidRPr="004C6F29">
        <w:rPr>
          <w:rFonts w:cstheme="minorHAnsi"/>
          <w:lang w:val="en-US"/>
        </w:rPr>
        <w:t>, 2023).</w:t>
      </w:r>
    </w:p>
    <w:p w14:paraId="38572D4B" w14:textId="688E0326" w:rsidR="00034C9E" w:rsidRPr="004C6F29" w:rsidRDefault="00034C9E" w:rsidP="004C6F29">
      <w:pPr>
        <w:spacing w:after="0" w:line="360" w:lineRule="auto"/>
        <w:ind w:left="-170" w:right="-170"/>
        <w:jc w:val="both"/>
        <w:rPr>
          <w:rFonts w:cstheme="minorHAnsi"/>
          <w:lang w:val="en-US"/>
        </w:rPr>
      </w:pPr>
      <w:r w:rsidRPr="004C6F29">
        <w:rPr>
          <w:rFonts w:cstheme="minorHAnsi"/>
          <w:lang w:val="en-US"/>
        </w:rPr>
        <w:t xml:space="preserve">Ageing is accompanied by the emergence of acute and chronic comorbidities, such as knee osteoarthritis, which is </w:t>
      </w:r>
      <w:r w:rsidR="002445D1" w:rsidRPr="004C6F29">
        <w:rPr>
          <w:rFonts w:cstheme="minorHAnsi"/>
          <w:lang w:val="en-US"/>
        </w:rPr>
        <w:t>characterized</w:t>
      </w:r>
      <w:r w:rsidRPr="004C6F29">
        <w:rPr>
          <w:rFonts w:cstheme="minorHAnsi"/>
          <w:lang w:val="en-US"/>
        </w:rPr>
        <w:t xml:space="preserve"> by its chronicity, accompanied by pain, dependency and reduced quality of life. In 2019, 528 million people lived with this condition, an increase of 113% since 1990 worldwide, with moderate to severe levels of severity (World Health </w:t>
      </w:r>
      <w:r w:rsidR="002445D1" w:rsidRPr="004C6F29">
        <w:rPr>
          <w:rFonts w:cstheme="minorHAnsi"/>
          <w:lang w:val="en-US"/>
        </w:rPr>
        <w:t>Organization</w:t>
      </w:r>
      <w:r w:rsidRPr="004C6F29">
        <w:rPr>
          <w:rFonts w:cstheme="minorHAnsi"/>
          <w:lang w:val="en-US"/>
        </w:rPr>
        <w:t xml:space="preserve"> [WHO], 2023).</w:t>
      </w:r>
    </w:p>
    <w:p w14:paraId="03716FF0" w14:textId="77777777" w:rsidR="00034C9E" w:rsidRPr="004C6F29" w:rsidRDefault="00034C9E" w:rsidP="004C6F29">
      <w:pPr>
        <w:spacing w:after="0" w:line="360" w:lineRule="auto"/>
        <w:ind w:left="-170" w:right="-170"/>
        <w:jc w:val="both"/>
        <w:rPr>
          <w:rFonts w:cstheme="minorHAnsi"/>
          <w:lang w:val="en-US"/>
        </w:rPr>
      </w:pPr>
      <w:r w:rsidRPr="004C6F29">
        <w:rPr>
          <w:rFonts w:cstheme="minorHAnsi"/>
          <w:lang w:val="en-US"/>
        </w:rPr>
        <w:t xml:space="preserve">In Portugal, the </w:t>
      </w:r>
      <w:proofErr w:type="spellStart"/>
      <w:r w:rsidRPr="004C6F29">
        <w:rPr>
          <w:rFonts w:cstheme="minorHAnsi"/>
          <w:lang w:val="en-US"/>
        </w:rPr>
        <w:t>EpiReumaPt</w:t>
      </w:r>
      <w:proofErr w:type="spellEnd"/>
      <w:r w:rsidRPr="004C6F29">
        <w:rPr>
          <w:rFonts w:cstheme="minorHAnsi"/>
          <w:lang w:val="en-US"/>
        </w:rPr>
        <w:t xml:space="preserve"> (Epidemiological Study of Rheumatic Diseases in Portugal) reported that in 2015, rheumatic and musculoskeletal diseases were the most common diseases among the population, with knee osteoarthritis ranking third in prevalence (Branco et al., 2016).</w:t>
      </w:r>
    </w:p>
    <w:p w14:paraId="31E00DED" w14:textId="77777777" w:rsidR="00034C9E" w:rsidRPr="004C6F29" w:rsidRDefault="00034C9E" w:rsidP="004C6F29">
      <w:pPr>
        <w:spacing w:after="0" w:line="360" w:lineRule="auto"/>
        <w:ind w:left="-170" w:right="-170"/>
        <w:jc w:val="both"/>
        <w:rPr>
          <w:rFonts w:cstheme="minorHAnsi"/>
          <w:lang w:val="en-US"/>
        </w:rPr>
      </w:pPr>
      <w:r w:rsidRPr="004C6F29">
        <w:rPr>
          <w:rFonts w:cstheme="minorHAnsi"/>
          <w:lang w:val="en-US"/>
        </w:rPr>
        <w:t>Chronic knee pain and loss of motor function give rise to a vicious cycle with a negative impact on a person's activities of daily living, causing a significant reduction in quality of life (WHO, 2023).</w:t>
      </w:r>
    </w:p>
    <w:p w14:paraId="7B82F85D" w14:textId="77777777" w:rsidR="00034C9E" w:rsidRPr="004C6F29" w:rsidRDefault="00034C9E" w:rsidP="004C6F29">
      <w:pPr>
        <w:spacing w:after="0" w:line="360" w:lineRule="auto"/>
        <w:ind w:left="-170" w:right="-170"/>
        <w:jc w:val="both"/>
        <w:rPr>
          <w:rFonts w:cstheme="minorHAnsi"/>
          <w:lang w:val="en-US"/>
        </w:rPr>
      </w:pPr>
      <w:r w:rsidRPr="004C6F29">
        <w:rPr>
          <w:rFonts w:cstheme="minorHAnsi"/>
          <w:lang w:val="en-US"/>
        </w:rPr>
        <w:t>Total Knee Arthroplasty (TKA) is a surgical intervention performed with the aim of reducing pain, correcting deformities and restoring a functional range of movement, preserving the stability and functionality of the joint, allowing daily activities to be carried out (Bhave &amp; Baker, 2015).</w:t>
      </w:r>
    </w:p>
    <w:p w14:paraId="6A7EFB9F" w14:textId="347EA6F3" w:rsidR="00034C9E" w:rsidRPr="004C6F29" w:rsidRDefault="00034C9E" w:rsidP="004C6F29">
      <w:pPr>
        <w:spacing w:after="0" w:line="360" w:lineRule="auto"/>
        <w:ind w:left="-170" w:right="-170"/>
        <w:jc w:val="both"/>
        <w:rPr>
          <w:rFonts w:cstheme="minorHAnsi"/>
          <w:lang w:val="en-US"/>
        </w:rPr>
      </w:pPr>
      <w:r w:rsidRPr="004C6F29">
        <w:rPr>
          <w:rFonts w:cstheme="minorHAnsi"/>
          <w:lang w:val="en-US"/>
        </w:rPr>
        <w:t xml:space="preserve">However, surgical interventions are associated with the risk of healthcare-associated infections (HAIs), with surgical </w:t>
      </w:r>
      <w:r w:rsidR="002445D1" w:rsidRPr="004C6F29">
        <w:rPr>
          <w:rFonts w:cstheme="minorHAnsi"/>
          <w:lang w:val="en-US"/>
        </w:rPr>
        <w:t>Site</w:t>
      </w:r>
      <w:r w:rsidRPr="004C6F29">
        <w:rPr>
          <w:rFonts w:cstheme="minorHAnsi"/>
          <w:lang w:val="en-US"/>
        </w:rPr>
        <w:t xml:space="preserve"> infection (SSI) being the most common. </w:t>
      </w:r>
      <w:r w:rsidRPr="004C6F29">
        <w:rPr>
          <w:rFonts w:cstheme="minorHAnsi"/>
          <w:lang w:val="en-US"/>
        </w:rPr>
        <w:t>The incidence of SSIs remains a public health concern due to their impact on morbidity, mortality and hospital costs (European Centre for Disease Prevention and Control [ECDC], 2019).</w:t>
      </w:r>
    </w:p>
    <w:p w14:paraId="2487FC13" w14:textId="1E4EC010" w:rsidR="00034C9E" w:rsidRPr="004C6F29" w:rsidRDefault="00034C9E" w:rsidP="004C6F29">
      <w:pPr>
        <w:spacing w:after="0" w:line="360" w:lineRule="auto"/>
        <w:ind w:left="-170" w:right="-170"/>
        <w:jc w:val="both"/>
        <w:rPr>
          <w:rFonts w:cstheme="minorHAnsi"/>
          <w:lang w:val="en-US"/>
        </w:rPr>
      </w:pPr>
      <w:r w:rsidRPr="004C6F29">
        <w:rPr>
          <w:rFonts w:cstheme="minorHAnsi"/>
          <w:lang w:val="en-US"/>
        </w:rPr>
        <w:t xml:space="preserve">According to the same source, </w:t>
      </w:r>
      <w:r w:rsidR="002445D1" w:rsidRPr="004C6F29">
        <w:rPr>
          <w:rFonts w:cstheme="minorHAnsi"/>
          <w:lang w:val="en-US"/>
        </w:rPr>
        <w:t>SSI</w:t>
      </w:r>
      <w:r w:rsidRPr="004C6F29">
        <w:rPr>
          <w:rFonts w:cstheme="minorHAnsi"/>
          <w:lang w:val="en-US"/>
        </w:rPr>
        <w:t xml:space="preserve"> is characteri</w:t>
      </w:r>
      <w:r w:rsidR="002445D1" w:rsidRPr="004C6F29">
        <w:rPr>
          <w:rFonts w:cstheme="minorHAnsi"/>
          <w:lang w:val="en-US"/>
        </w:rPr>
        <w:t>z</w:t>
      </w:r>
      <w:r w:rsidRPr="004C6F29">
        <w:rPr>
          <w:rFonts w:cstheme="minorHAnsi"/>
          <w:lang w:val="en-US"/>
        </w:rPr>
        <w:t xml:space="preserve">ed as an infection that manifests up to 30 days after surgery or up to 90 days after surgery in patients who have received implantable material, affecting the superficial area of the incision or the deeper tissues in the surgical region. According to its 2018-2020 annual epidemiological report published in 2023, of the 1,255,958 surgical procedures recorded in Europe, there were 19,680 surgical site infections, with 0.6% referring to Knee Arthroplasty, highlighting the decrease in the </w:t>
      </w:r>
      <w:r w:rsidR="002445D1" w:rsidRPr="004C6F29">
        <w:rPr>
          <w:rFonts w:cstheme="minorHAnsi"/>
          <w:lang w:val="en-US"/>
        </w:rPr>
        <w:t>SSI</w:t>
      </w:r>
      <w:r w:rsidRPr="004C6F29">
        <w:rPr>
          <w:rFonts w:cstheme="minorHAnsi"/>
          <w:lang w:val="en-US"/>
        </w:rPr>
        <w:t xml:space="preserve"> rate in 2020, due to the lower number of surgeries reported due to the Covid-19 epidemic.</w:t>
      </w:r>
    </w:p>
    <w:p w14:paraId="0FDE1B4E" w14:textId="5639FED6" w:rsidR="00034C9E" w:rsidRPr="004C6F29" w:rsidRDefault="00034C9E" w:rsidP="004C6F29">
      <w:pPr>
        <w:spacing w:after="0" w:line="360" w:lineRule="auto"/>
        <w:ind w:left="-170" w:right="-170"/>
        <w:jc w:val="both"/>
        <w:rPr>
          <w:rFonts w:cstheme="minorHAnsi"/>
          <w:lang w:val="en-US"/>
        </w:rPr>
      </w:pPr>
      <w:r w:rsidRPr="004C6F29">
        <w:rPr>
          <w:rFonts w:cstheme="minorHAnsi"/>
          <w:lang w:val="en-US"/>
        </w:rPr>
        <w:t xml:space="preserve">In Portugal, the 2021 report of the </w:t>
      </w:r>
      <w:proofErr w:type="spellStart"/>
      <w:r w:rsidRPr="004C6F29">
        <w:rPr>
          <w:rFonts w:cstheme="minorHAnsi"/>
          <w:lang w:val="en-US"/>
        </w:rPr>
        <w:t>Programme</w:t>
      </w:r>
      <w:proofErr w:type="spellEnd"/>
      <w:r w:rsidRPr="004C6F29">
        <w:rPr>
          <w:rFonts w:cstheme="minorHAnsi"/>
          <w:lang w:val="en-US"/>
        </w:rPr>
        <w:t xml:space="preserve"> for the Prevention and Control of Infections and Antimicrobial Resistance (PPCI</w:t>
      </w:r>
      <w:r w:rsidR="004157DE" w:rsidRPr="004C6F29">
        <w:rPr>
          <w:rFonts w:cstheme="minorHAnsi"/>
          <w:lang w:val="en-US"/>
        </w:rPr>
        <w:t>AR</w:t>
      </w:r>
      <w:r w:rsidRPr="004C6F29">
        <w:rPr>
          <w:rFonts w:cstheme="minorHAnsi"/>
          <w:lang w:val="en-US"/>
        </w:rPr>
        <w:t xml:space="preserve">) highlights an increase in </w:t>
      </w:r>
      <w:r w:rsidR="004157DE" w:rsidRPr="004C6F29">
        <w:rPr>
          <w:rFonts w:cstheme="minorHAnsi"/>
          <w:lang w:val="en-US"/>
        </w:rPr>
        <w:t>SSI</w:t>
      </w:r>
      <w:r w:rsidRPr="004C6F29">
        <w:rPr>
          <w:rFonts w:cstheme="minorHAnsi"/>
          <w:lang w:val="en-US"/>
        </w:rPr>
        <w:t xml:space="preserve"> in Knee Arthroplasty (by 14.3%), highlighting the fact that fewer elective surgical procedures were carried out and </w:t>
      </w:r>
      <w:r w:rsidR="004157DE" w:rsidRPr="004C6F29">
        <w:rPr>
          <w:rFonts w:cstheme="minorHAnsi"/>
          <w:lang w:val="en-US"/>
        </w:rPr>
        <w:t>analyzed</w:t>
      </w:r>
      <w:r w:rsidRPr="004C6F29">
        <w:rPr>
          <w:rFonts w:cstheme="minorHAnsi"/>
          <w:lang w:val="en-US"/>
        </w:rPr>
        <w:t xml:space="preserve"> due to the pandemic in 2020 (Direção-Geral da </w:t>
      </w:r>
      <w:proofErr w:type="spellStart"/>
      <w:r w:rsidRPr="004C6F29">
        <w:rPr>
          <w:rFonts w:cstheme="minorHAnsi"/>
          <w:lang w:val="en-US"/>
        </w:rPr>
        <w:t>Saúde</w:t>
      </w:r>
      <w:proofErr w:type="spellEnd"/>
      <w:r w:rsidRPr="004C6F29">
        <w:rPr>
          <w:rFonts w:cstheme="minorHAnsi"/>
          <w:lang w:val="en-US"/>
        </w:rPr>
        <w:t xml:space="preserve"> [DGS], 2022a).</w:t>
      </w:r>
    </w:p>
    <w:p w14:paraId="56CA2DDE" w14:textId="57C239F3" w:rsidR="00034C9E" w:rsidRPr="004C6F29" w:rsidRDefault="00034C9E" w:rsidP="004C6F29">
      <w:pPr>
        <w:spacing w:after="0" w:line="360" w:lineRule="auto"/>
        <w:ind w:left="-170" w:right="-170"/>
        <w:jc w:val="both"/>
        <w:rPr>
          <w:rFonts w:cstheme="minorHAnsi"/>
          <w:lang w:val="en-US"/>
        </w:rPr>
      </w:pPr>
      <w:proofErr w:type="gramStart"/>
      <w:r w:rsidRPr="004C6F29">
        <w:rPr>
          <w:rFonts w:cstheme="minorHAnsi"/>
          <w:lang w:val="en-US"/>
        </w:rPr>
        <w:t>In order to</w:t>
      </w:r>
      <w:proofErr w:type="gramEnd"/>
      <w:r w:rsidRPr="004C6F29">
        <w:rPr>
          <w:rFonts w:cstheme="minorHAnsi"/>
          <w:lang w:val="en-US"/>
        </w:rPr>
        <w:t xml:space="preserve"> overcome this challenge, the importance of the use of guidelines and standards by the DGS was reinforced, with the aim of preventing </w:t>
      </w:r>
      <w:r w:rsidR="004157DE" w:rsidRPr="004C6F29">
        <w:rPr>
          <w:rFonts w:cstheme="minorHAnsi"/>
          <w:lang w:val="en-US"/>
        </w:rPr>
        <w:t>SSI</w:t>
      </w:r>
      <w:r w:rsidRPr="004C6F29">
        <w:rPr>
          <w:rFonts w:cstheme="minorHAnsi"/>
          <w:lang w:val="en-US"/>
        </w:rPr>
        <w:t xml:space="preserve"> through the implementation of evidence-based practices and the implementation of </w:t>
      </w:r>
      <w:r w:rsidR="004157DE" w:rsidRPr="004C6F29">
        <w:rPr>
          <w:rFonts w:cstheme="minorHAnsi"/>
          <w:lang w:val="en-US"/>
        </w:rPr>
        <w:t>“</w:t>
      </w:r>
      <w:r w:rsidRPr="004C6F29">
        <w:rPr>
          <w:rFonts w:cstheme="minorHAnsi"/>
          <w:lang w:val="en-US"/>
        </w:rPr>
        <w:t>bundles of interventions</w:t>
      </w:r>
      <w:r w:rsidR="004157DE" w:rsidRPr="004C6F29">
        <w:rPr>
          <w:rFonts w:cstheme="minorHAnsi"/>
          <w:lang w:val="en-US"/>
        </w:rPr>
        <w:t>”</w:t>
      </w:r>
      <w:r w:rsidRPr="004C6F29">
        <w:rPr>
          <w:rFonts w:cstheme="minorHAnsi"/>
          <w:lang w:val="en-US"/>
        </w:rPr>
        <w:t xml:space="preserve"> (DGS, 2022b).</w:t>
      </w:r>
    </w:p>
    <w:p w14:paraId="254E6FC6" w14:textId="4AC68929" w:rsidR="00034C9E" w:rsidRPr="004C6F29" w:rsidRDefault="00034C9E" w:rsidP="004C6F29">
      <w:pPr>
        <w:spacing w:after="0" w:line="360" w:lineRule="auto"/>
        <w:ind w:left="-170" w:right="-170"/>
        <w:jc w:val="both"/>
        <w:rPr>
          <w:rFonts w:cstheme="minorHAnsi"/>
          <w:lang w:val="en-US"/>
        </w:rPr>
      </w:pPr>
      <w:r w:rsidRPr="004C6F29">
        <w:rPr>
          <w:rFonts w:cstheme="minorHAnsi"/>
          <w:lang w:val="en-US"/>
        </w:rPr>
        <w:t xml:space="preserve">The DGS implemented Standard 020/2015 on 15/12/2015, which was subsequently updated on 17/11/2022 (DGS, 2022b). This standard covers a series of preventive measures, such as the integrated application of </w:t>
      </w:r>
      <w:r w:rsidR="004157DE" w:rsidRPr="004C6F29">
        <w:rPr>
          <w:rFonts w:cstheme="minorHAnsi"/>
          <w:lang w:val="en-US"/>
        </w:rPr>
        <w:t>“</w:t>
      </w:r>
      <w:r w:rsidRPr="004C6F29">
        <w:rPr>
          <w:rFonts w:cstheme="minorHAnsi"/>
          <w:lang w:val="en-US"/>
        </w:rPr>
        <w:t>bundles of interventions</w:t>
      </w:r>
      <w:r w:rsidR="004157DE" w:rsidRPr="004C6F29">
        <w:rPr>
          <w:rFonts w:cstheme="minorHAnsi"/>
          <w:lang w:val="en-US"/>
        </w:rPr>
        <w:t>”</w:t>
      </w:r>
      <w:r w:rsidRPr="004C6F29">
        <w:rPr>
          <w:rFonts w:cstheme="minorHAnsi"/>
          <w:lang w:val="en-US"/>
        </w:rPr>
        <w:t xml:space="preserve"> as a </w:t>
      </w:r>
      <w:r w:rsidRPr="004C6F29">
        <w:rPr>
          <w:rFonts w:cstheme="minorHAnsi"/>
          <w:lang w:val="en-US"/>
        </w:rPr>
        <w:lastRenderedPageBreak/>
        <w:t>fundamental element for successful prevention. It is part of the Strategic Objective ‘5.3 Reduce Healthcare-Associated Infections (HAIs) and Antimicrobial Resistance (</w:t>
      </w:r>
      <w:r w:rsidR="004157DE" w:rsidRPr="004C6F29">
        <w:rPr>
          <w:rFonts w:cstheme="minorHAnsi"/>
          <w:lang w:val="en-US"/>
        </w:rPr>
        <w:t>RAM</w:t>
      </w:r>
      <w:r w:rsidRPr="004C6F29">
        <w:rPr>
          <w:rFonts w:cstheme="minorHAnsi"/>
          <w:lang w:val="en-US"/>
        </w:rPr>
        <w:t xml:space="preserve">)’ of Pillar 5 ‘Safe Practices in Safe Environments’ of the National Patient Safety Plan (PNSD) 2021-2026 (Order no. 9390/2021 of 24 September), reinforcing the importance of </w:t>
      </w:r>
      <w:r w:rsidR="004157DE" w:rsidRPr="004C6F29">
        <w:rPr>
          <w:rFonts w:cstheme="minorHAnsi"/>
          <w:lang w:val="en-US"/>
        </w:rPr>
        <w:t>standardizing</w:t>
      </w:r>
      <w:r w:rsidRPr="004C6F29">
        <w:rPr>
          <w:rFonts w:cstheme="minorHAnsi"/>
          <w:lang w:val="en-US"/>
        </w:rPr>
        <w:t xml:space="preserve"> procedures based on surgical evidence and the involvement of the entire team.</w:t>
      </w:r>
    </w:p>
    <w:p w14:paraId="4D22B567" w14:textId="629C56D1" w:rsidR="00034C9E" w:rsidRPr="004C6F29" w:rsidRDefault="00034C9E" w:rsidP="004C6F29">
      <w:pPr>
        <w:spacing w:after="0" w:line="360" w:lineRule="auto"/>
        <w:ind w:left="-170" w:right="-170"/>
        <w:jc w:val="both"/>
        <w:rPr>
          <w:rFonts w:cstheme="minorHAnsi"/>
          <w:lang w:val="en-US"/>
        </w:rPr>
      </w:pPr>
      <w:r w:rsidRPr="004C6F29">
        <w:rPr>
          <w:rFonts w:cstheme="minorHAnsi"/>
          <w:lang w:val="en-US"/>
        </w:rPr>
        <w:t xml:space="preserve">However, the need to deepen our knowledge of the risk factors for </w:t>
      </w:r>
      <w:r w:rsidR="004157DE" w:rsidRPr="004C6F29">
        <w:rPr>
          <w:rFonts w:cstheme="minorHAnsi"/>
          <w:lang w:val="en-US"/>
        </w:rPr>
        <w:t>SSI</w:t>
      </w:r>
      <w:r w:rsidRPr="004C6F29">
        <w:rPr>
          <w:rFonts w:cstheme="minorHAnsi"/>
          <w:lang w:val="en-US"/>
        </w:rPr>
        <w:t xml:space="preserve"> after knee arthroplasty is evident, especially considering the constant evolution in the healthcare field. This study aims to map </w:t>
      </w:r>
      <w:proofErr w:type="gramStart"/>
      <w:r w:rsidRPr="004C6F29">
        <w:rPr>
          <w:rFonts w:cstheme="minorHAnsi"/>
          <w:lang w:val="en-US"/>
        </w:rPr>
        <w:t>the scientific</w:t>
      </w:r>
      <w:proofErr w:type="gramEnd"/>
      <w:r w:rsidRPr="004C6F29">
        <w:rPr>
          <w:rFonts w:cstheme="minorHAnsi"/>
          <w:lang w:val="en-US"/>
        </w:rPr>
        <w:t xml:space="preserve"> evidence on the risk factors for </w:t>
      </w:r>
      <w:r w:rsidR="004157DE" w:rsidRPr="004C6F29">
        <w:rPr>
          <w:rFonts w:cstheme="minorHAnsi"/>
          <w:lang w:val="en-US"/>
        </w:rPr>
        <w:t>SSI</w:t>
      </w:r>
      <w:r w:rsidRPr="004C6F29">
        <w:rPr>
          <w:rFonts w:cstheme="minorHAnsi"/>
          <w:lang w:val="en-US"/>
        </w:rPr>
        <w:t xml:space="preserve"> in adults undergoing knee arthroplasty. </w:t>
      </w:r>
      <w:proofErr w:type="gramStart"/>
      <w:r w:rsidRPr="004C6F29">
        <w:rPr>
          <w:rFonts w:cstheme="minorHAnsi"/>
          <w:lang w:val="en-US"/>
        </w:rPr>
        <w:t>In order to</w:t>
      </w:r>
      <w:proofErr w:type="gramEnd"/>
      <w:r w:rsidRPr="004C6F29">
        <w:rPr>
          <w:rFonts w:cstheme="minorHAnsi"/>
          <w:lang w:val="en-US"/>
        </w:rPr>
        <w:t xml:space="preserve"> achieve this objective, a scoping review will be carried out, guided by the </w:t>
      </w:r>
      <w:r w:rsidRPr="004C6F29">
        <w:rPr>
          <w:rFonts w:cstheme="minorHAnsi"/>
          <w:lang w:val="en-US"/>
        </w:rPr>
        <w:t>methodology of the Joanna Briggs Institute (JBI). The review protocol was registered in the Open Science Framework database (OSFHOMEhttps://osf.io/4xayj). Identifying these risk factors is fundamental to developing more effective prevention strategies, improving results and ensuring the safety of people undergoing knee arthroplasty.</w:t>
      </w:r>
    </w:p>
    <w:p w14:paraId="491D32F0" w14:textId="77777777" w:rsidR="00072610" w:rsidRDefault="00072610" w:rsidP="004C6F29">
      <w:pPr>
        <w:spacing w:after="0" w:line="360" w:lineRule="auto"/>
        <w:ind w:left="-170" w:right="-170"/>
        <w:jc w:val="both"/>
        <w:rPr>
          <w:rFonts w:cstheme="minorHAnsi"/>
          <w:lang w:val="en-US"/>
        </w:rPr>
      </w:pPr>
    </w:p>
    <w:p w14:paraId="399CAE63" w14:textId="5493E74C" w:rsidR="005977A8" w:rsidRPr="00072610" w:rsidRDefault="00034C9E" w:rsidP="00072610">
      <w:pPr>
        <w:spacing w:after="120" w:line="360" w:lineRule="auto"/>
        <w:ind w:left="-170" w:right="-170"/>
        <w:jc w:val="both"/>
        <w:rPr>
          <w:rFonts w:cstheme="minorHAnsi"/>
          <w:b/>
          <w:bCs/>
          <w:lang w:val="en-US"/>
        </w:rPr>
      </w:pPr>
      <w:r w:rsidRPr="00072610">
        <w:rPr>
          <w:rFonts w:cstheme="minorHAnsi"/>
          <w:b/>
          <w:bCs/>
          <w:lang w:val="en-US"/>
        </w:rPr>
        <w:t>METHODOLOGICAL REVIEW PROCEDURES</w:t>
      </w:r>
    </w:p>
    <w:p w14:paraId="783DBFC4" w14:textId="77777777" w:rsidR="004C6F29" w:rsidRDefault="00034C9E" w:rsidP="004C6F29">
      <w:pPr>
        <w:spacing w:after="0" w:line="360" w:lineRule="auto"/>
        <w:ind w:left="-170" w:right="-170"/>
        <w:jc w:val="both"/>
        <w:rPr>
          <w:rFonts w:cstheme="minorHAnsi"/>
          <w:lang w:val="en-US"/>
        </w:rPr>
        <w:sectPr w:rsidR="004C6F29" w:rsidSect="00A5365E">
          <w:type w:val="continuous"/>
          <w:pgSz w:w="11906" w:h="16838"/>
          <w:pgMar w:top="1121" w:right="1080" w:bottom="1418" w:left="1080" w:header="709" w:footer="709" w:gutter="0"/>
          <w:cols w:num="2" w:space="708"/>
          <w:titlePg/>
          <w:docGrid w:linePitch="360"/>
        </w:sectPr>
      </w:pPr>
      <w:r w:rsidRPr="004C6F29">
        <w:rPr>
          <w:rFonts w:cstheme="minorHAnsi"/>
          <w:lang w:val="en-US"/>
        </w:rPr>
        <w:t xml:space="preserve"> According to Peters et al. (2020) the JBI recommends that for scoping reviews the PCC mnemonic (population, concept and context) be used to define the review question “What are the risk factors for surgical site infection after Knee Arthroplasty?”, as shown in Table 1.</w:t>
      </w:r>
    </w:p>
    <w:p w14:paraId="2F109511" w14:textId="1D008FE3" w:rsidR="00B257E0" w:rsidRPr="00034C9E" w:rsidRDefault="00B257E0" w:rsidP="00382212">
      <w:pPr>
        <w:spacing w:after="0" w:line="360" w:lineRule="auto"/>
        <w:ind w:right="-1"/>
        <w:jc w:val="both"/>
        <w:rPr>
          <w:rFonts w:cstheme="minorHAnsi"/>
          <w:lang w:val="en-US"/>
        </w:rPr>
      </w:pPr>
    </w:p>
    <w:p w14:paraId="57FA8413" w14:textId="270CBD58" w:rsidR="004C6F29" w:rsidRDefault="004C6F29" w:rsidP="004C6F29">
      <w:pPr>
        <w:spacing w:after="0" w:line="240" w:lineRule="auto"/>
        <w:ind w:left="-170" w:right="-170"/>
        <w:jc w:val="both"/>
        <w:rPr>
          <w:rFonts w:cstheme="minorHAnsi"/>
          <w:lang w:val="en-US"/>
        </w:rPr>
      </w:pPr>
      <w:r>
        <w:rPr>
          <w:rFonts w:cstheme="minorHAnsi"/>
          <w:lang w:val="en-US"/>
        </w:rPr>
        <w:t>Bord</w:t>
      </w:r>
      <w:r w:rsidR="00C41258" w:rsidRPr="004157DE">
        <w:rPr>
          <w:rFonts w:cstheme="minorHAnsi"/>
          <w:lang w:val="en-US"/>
        </w:rPr>
        <w:t xml:space="preserve"> 1</w:t>
      </w:r>
    </w:p>
    <w:p w14:paraId="28F6EA91" w14:textId="42086AEB" w:rsidR="00C41258" w:rsidRPr="004157DE" w:rsidRDefault="00C41258" w:rsidP="001B5120">
      <w:pPr>
        <w:spacing w:after="120" w:line="240" w:lineRule="auto"/>
        <w:ind w:left="-170" w:right="-170"/>
        <w:jc w:val="both"/>
        <w:rPr>
          <w:rFonts w:cstheme="minorHAnsi"/>
          <w:lang w:val="en-US"/>
        </w:rPr>
      </w:pPr>
      <w:r w:rsidRPr="004157DE">
        <w:rPr>
          <w:rFonts w:cstheme="minorHAnsi"/>
          <w:lang w:val="en-US"/>
        </w:rPr>
        <w:t>Component</w:t>
      </w:r>
      <w:r w:rsidR="004157DE" w:rsidRPr="004157DE">
        <w:rPr>
          <w:rFonts w:cstheme="minorHAnsi"/>
          <w:lang w:val="en-US"/>
        </w:rPr>
        <w:t>s of the r</w:t>
      </w:r>
      <w:r w:rsidR="004157DE">
        <w:rPr>
          <w:rFonts w:cstheme="minorHAnsi"/>
          <w:lang w:val="en-US"/>
        </w:rPr>
        <w:t>eview question</w:t>
      </w:r>
    </w:p>
    <w:tbl>
      <w:tblPr>
        <w:tblStyle w:val="TabelacomGrelha"/>
        <w:tblW w:w="10065" w:type="dxa"/>
        <w:tblInd w:w="-142" w:type="dxa"/>
        <w:tblBorders>
          <w:left w:val="none" w:sz="0" w:space="0" w:color="auto"/>
          <w:right w:val="none" w:sz="0" w:space="0" w:color="auto"/>
        </w:tblBorders>
        <w:tblLook w:val="04A0" w:firstRow="1" w:lastRow="0" w:firstColumn="1" w:lastColumn="0" w:noHBand="0" w:noVBand="1"/>
      </w:tblPr>
      <w:tblGrid>
        <w:gridCol w:w="1702"/>
        <w:gridCol w:w="8363"/>
      </w:tblGrid>
      <w:tr w:rsidR="00725AE8" w:rsidRPr="002E3994" w14:paraId="05A86300" w14:textId="77777777" w:rsidTr="004C6F29">
        <w:tc>
          <w:tcPr>
            <w:tcW w:w="1702" w:type="dxa"/>
          </w:tcPr>
          <w:p w14:paraId="448DAB08" w14:textId="6C0B3007" w:rsidR="00C41258" w:rsidRPr="00903AE3" w:rsidRDefault="00034C9E" w:rsidP="00382212">
            <w:pPr>
              <w:spacing w:line="360" w:lineRule="auto"/>
              <w:ind w:right="-1"/>
              <w:jc w:val="both"/>
              <w:rPr>
                <w:rFonts w:cstheme="minorHAnsi"/>
              </w:rPr>
            </w:pPr>
            <w:r w:rsidRPr="00034C9E">
              <w:rPr>
                <w:rFonts w:cstheme="minorHAnsi"/>
              </w:rPr>
              <w:t>POPULATION (P)</w:t>
            </w:r>
          </w:p>
        </w:tc>
        <w:tc>
          <w:tcPr>
            <w:tcW w:w="8363" w:type="dxa"/>
          </w:tcPr>
          <w:p w14:paraId="09E73351" w14:textId="2AC8EC90" w:rsidR="00C41258" w:rsidRPr="00034C9E" w:rsidRDefault="00034C9E" w:rsidP="00382212">
            <w:pPr>
              <w:spacing w:line="360" w:lineRule="auto"/>
              <w:ind w:right="-1"/>
              <w:jc w:val="both"/>
              <w:rPr>
                <w:rFonts w:cstheme="minorHAnsi"/>
                <w:lang w:val="en-US"/>
              </w:rPr>
            </w:pPr>
            <w:r w:rsidRPr="00034C9E">
              <w:rPr>
                <w:rFonts w:cstheme="minorHAnsi"/>
                <w:lang w:val="en-US"/>
              </w:rPr>
              <w:t>Adults, 18 years or older, undergoing Knee Arthroplasty</w:t>
            </w:r>
          </w:p>
        </w:tc>
      </w:tr>
      <w:tr w:rsidR="00725AE8" w:rsidRPr="002E3994" w14:paraId="157DD6E7" w14:textId="77777777" w:rsidTr="004C6F29">
        <w:tc>
          <w:tcPr>
            <w:tcW w:w="1702" w:type="dxa"/>
          </w:tcPr>
          <w:p w14:paraId="27EAAFCC" w14:textId="0BBB5AC8" w:rsidR="00C41258" w:rsidRPr="00903AE3" w:rsidRDefault="00034C9E" w:rsidP="00382212">
            <w:pPr>
              <w:spacing w:line="360" w:lineRule="auto"/>
              <w:ind w:right="-1"/>
              <w:jc w:val="both"/>
              <w:rPr>
                <w:rFonts w:cstheme="minorHAnsi"/>
              </w:rPr>
            </w:pPr>
            <w:r w:rsidRPr="00034C9E">
              <w:rPr>
                <w:rFonts w:cstheme="minorHAnsi"/>
              </w:rPr>
              <w:t>CONCEPT (C)</w:t>
            </w:r>
          </w:p>
        </w:tc>
        <w:tc>
          <w:tcPr>
            <w:tcW w:w="8363" w:type="dxa"/>
          </w:tcPr>
          <w:p w14:paraId="7166F2CF" w14:textId="7A2F7C29" w:rsidR="00C41258" w:rsidRPr="00034C9E" w:rsidRDefault="00034C9E" w:rsidP="00382212">
            <w:pPr>
              <w:spacing w:line="360" w:lineRule="auto"/>
              <w:ind w:right="-1"/>
              <w:jc w:val="both"/>
              <w:rPr>
                <w:rFonts w:cstheme="minorHAnsi"/>
                <w:lang w:val="en-US"/>
              </w:rPr>
            </w:pPr>
            <w:r w:rsidRPr="00034C9E">
              <w:rPr>
                <w:rFonts w:cstheme="minorHAnsi"/>
                <w:lang w:val="en-US"/>
              </w:rPr>
              <w:t>Risk factors for surgical site infection</w:t>
            </w:r>
          </w:p>
        </w:tc>
      </w:tr>
      <w:tr w:rsidR="00C41258" w:rsidRPr="00903AE3" w14:paraId="1415EE4F" w14:textId="77777777" w:rsidTr="004C6F29">
        <w:tc>
          <w:tcPr>
            <w:tcW w:w="1702" w:type="dxa"/>
          </w:tcPr>
          <w:p w14:paraId="17AA1E62" w14:textId="44CA54DD" w:rsidR="00C41258" w:rsidRPr="00903AE3" w:rsidRDefault="00034C9E" w:rsidP="00382212">
            <w:pPr>
              <w:spacing w:line="360" w:lineRule="auto"/>
              <w:ind w:right="-1"/>
              <w:jc w:val="both"/>
              <w:rPr>
                <w:rFonts w:cstheme="minorHAnsi"/>
              </w:rPr>
            </w:pPr>
            <w:r w:rsidRPr="00034C9E">
              <w:rPr>
                <w:rFonts w:cstheme="minorHAnsi"/>
              </w:rPr>
              <w:t>CONTEXT (C)</w:t>
            </w:r>
          </w:p>
        </w:tc>
        <w:tc>
          <w:tcPr>
            <w:tcW w:w="8363" w:type="dxa"/>
          </w:tcPr>
          <w:p w14:paraId="745C4D7F" w14:textId="522D2830" w:rsidR="00C41258" w:rsidRPr="00903AE3" w:rsidRDefault="00034C9E" w:rsidP="00382212">
            <w:pPr>
              <w:spacing w:line="360" w:lineRule="auto"/>
              <w:ind w:right="-1"/>
              <w:jc w:val="both"/>
              <w:rPr>
                <w:rFonts w:cstheme="minorHAnsi"/>
              </w:rPr>
            </w:pPr>
            <w:r w:rsidRPr="00034C9E">
              <w:rPr>
                <w:rFonts w:cstheme="minorHAnsi"/>
              </w:rPr>
              <w:t xml:space="preserve">Hospital </w:t>
            </w:r>
            <w:proofErr w:type="spellStart"/>
            <w:r w:rsidRPr="00034C9E">
              <w:rPr>
                <w:rFonts w:cstheme="minorHAnsi"/>
              </w:rPr>
              <w:t>and</w:t>
            </w:r>
            <w:proofErr w:type="spellEnd"/>
            <w:r w:rsidRPr="00034C9E">
              <w:rPr>
                <w:rFonts w:cstheme="minorHAnsi"/>
              </w:rPr>
              <w:t xml:space="preserve"> </w:t>
            </w:r>
            <w:proofErr w:type="spellStart"/>
            <w:r w:rsidRPr="00034C9E">
              <w:rPr>
                <w:rFonts w:cstheme="minorHAnsi"/>
              </w:rPr>
              <w:t>Community</w:t>
            </w:r>
            <w:proofErr w:type="spellEnd"/>
          </w:p>
        </w:tc>
      </w:tr>
    </w:tbl>
    <w:p w14:paraId="29638C36" w14:textId="77777777" w:rsidR="004C6F29" w:rsidRDefault="004C6F29" w:rsidP="00034C9E">
      <w:pPr>
        <w:spacing w:after="0" w:line="360" w:lineRule="auto"/>
        <w:jc w:val="both"/>
        <w:rPr>
          <w:rFonts w:cstheme="minorHAnsi"/>
          <w:lang w:val="en-US"/>
        </w:rPr>
      </w:pPr>
    </w:p>
    <w:p w14:paraId="034A45C4" w14:textId="77777777" w:rsidR="004C6F29" w:rsidRDefault="004C6F29" w:rsidP="00034C9E">
      <w:pPr>
        <w:spacing w:after="0" w:line="360" w:lineRule="auto"/>
        <w:jc w:val="both"/>
        <w:rPr>
          <w:rFonts w:cstheme="minorHAnsi"/>
          <w:lang w:val="en-US"/>
        </w:rPr>
        <w:sectPr w:rsidR="004C6F29" w:rsidSect="004C6F29">
          <w:type w:val="continuous"/>
          <w:pgSz w:w="11906" w:h="16838"/>
          <w:pgMar w:top="993" w:right="1080" w:bottom="1418" w:left="1080" w:header="709" w:footer="709" w:gutter="0"/>
          <w:cols w:space="708"/>
          <w:titlePg/>
          <w:docGrid w:linePitch="360"/>
        </w:sectPr>
      </w:pPr>
    </w:p>
    <w:p w14:paraId="519669BE" w14:textId="04B1C533" w:rsidR="00034C9E" w:rsidRPr="00034C9E" w:rsidRDefault="00034C9E" w:rsidP="004C6F29">
      <w:pPr>
        <w:spacing w:after="0" w:line="360" w:lineRule="auto"/>
        <w:ind w:left="-170" w:right="-170"/>
        <w:jc w:val="both"/>
        <w:rPr>
          <w:rFonts w:cstheme="minorHAnsi"/>
          <w:lang w:val="en-US"/>
        </w:rPr>
      </w:pPr>
      <w:r w:rsidRPr="00034C9E">
        <w:rPr>
          <w:rFonts w:cstheme="minorHAnsi"/>
          <w:lang w:val="en-US"/>
        </w:rPr>
        <w:t xml:space="preserve">Studies whose participants were adults who underwent knee arthroplasty were included; whose objective focuses on the risk factors of </w:t>
      </w:r>
      <w:r w:rsidR="00D96D0B">
        <w:rPr>
          <w:rFonts w:cstheme="minorHAnsi"/>
          <w:lang w:val="en-US"/>
        </w:rPr>
        <w:t>SSI</w:t>
      </w:r>
      <w:r w:rsidRPr="00034C9E">
        <w:rPr>
          <w:rFonts w:cstheme="minorHAnsi"/>
          <w:lang w:val="en-US"/>
        </w:rPr>
        <w:t xml:space="preserve">; performed in a hospital and community context, since </w:t>
      </w:r>
      <w:r w:rsidR="00D96D0B">
        <w:rPr>
          <w:rFonts w:cstheme="minorHAnsi"/>
          <w:lang w:val="en-US"/>
        </w:rPr>
        <w:t>SSI</w:t>
      </w:r>
      <w:r w:rsidRPr="00034C9E">
        <w:rPr>
          <w:rFonts w:cstheme="minorHAnsi"/>
          <w:lang w:val="en-US"/>
        </w:rPr>
        <w:t xml:space="preserve"> can occur up to 90 days after surgical intervention, in the case of prosthesis implantation. Primary and secondary research studies, qualitative, quantitative or mixed, published with or without peer review and grey literature were included. Conference abstracts, oral communications or posters are excluded. The time limit 2018 to 2024 was applied, by identifying a review that included studies up to the end of</w:t>
      </w:r>
      <w:r w:rsidR="00D96D0B">
        <w:rPr>
          <w:rFonts w:cstheme="minorHAnsi"/>
          <w:lang w:val="en-US"/>
        </w:rPr>
        <w:t xml:space="preserve"> the</w:t>
      </w:r>
      <w:r w:rsidRPr="00034C9E">
        <w:rPr>
          <w:rFonts w:cstheme="minorHAnsi"/>
          <w:lang w:val="en-US"/>
        </w:rPr>
        <w:t xml:space="preserve"> </w:t>
      </w:r>
      <w:r w:rsidR="00072610" w:rsidRPr="00034C9E">
        <w:rPr>
          <w:rFonts w:cstheme="minorHAnsi"/>
          <w:lang w:val="en-US"/>
        </w:rPr>
        <w:t>year 2017</w:t>
      </w:r>
      <w:r w:rsidRPr="00034C9E">
        <w:rPr>
          <w:rFonts w:cstheme="minorHAnsi"/>
          <w:lang w:val="en-US"/>
        </w:rPr>
        <w:t xml:space="preserve">. </w:t>
      </w:r>
      <w:r w:rsidRPr="00034C9E">
        <w:rPr>
          <w:rFonts w:cstheme="minorHAnsi"/>
          <w:lang w:val="en-US"/>
        </w:rPr>
        <w:t xml:space="preserve">The search strategy comprised an initial limited search, using terms related to the research question, in the Medical Literature Analysis and Retrieval System Online (MEDLINE), via EBSCOhost. The text words, titles, abstracts and </w:t>
      </w:r>
      <w:proofErr w:type="spellStart"/>
      <w:r w:rsidRPr="00034C9E">
        <w:rPr>
          <w:rFonts w:cstheme="minorHAnsi"/>
          <w:lang w:val="en-US"/>
        </w:rPr>
        <w:t>MeSH</w:t>
      </w:r>
      <w:proofErr w:type="spellEnd"/>
      <w:r w:rsidRPr="00034C9E">
        <w:rPr>
          <w:rFonts w:cstheme="minorHAnsi"/>
          <w:lang w:val="en-US"/>
        </w:rPr>
        <w:t xml:space="preserve"> terms used to describe the article were analyzed. Next, in the </w:t>
      </w:r>
      <w:proofErr w:type="spellStart"/>
      <w:r w:rsidRPr="00034C9E">
        <w:rPr>
          <w:rFonts w:cstheme="minorHAnsi"/>
          <w:lang w:val="en-US"/>
        </w:rPr>
        <w:t>DeCS</w:t>
      </w:r>
      <w:proofErr w:type="spellEnd"/>
      <w:r w:rsidRPr="00034C9E">
        <w:rPr>
          <w:rFonts w:cstheme="minorHAnsi"/>
          <w:lang w:val="en-US"/>
        </w:rPr>
        <w:t xml:space="preserve"> search, at https://decs.bvsalud.org/, it is important to note that</w:t>
      </w:r>
      <w:proofErr w:type="gramStart"/>
      <w:r w:rsidRPr="00034C9E">
        <w:rPr>
          <w:rFonts w:cstheme="minorHAnsi"/>
          <w:lang w:val="en-US"/>
        </w:rPr>
        <w:t>:</w:t>
      </w:r>
      <w:r w:rsidR="00072610">
        <w:rPr>
          <w:rFonts w:cstheme="minorHAnsi"/>
          <w:lang w:val="en-US"/>
        </w:rPr>
        <w:t xml:space="preserve"> </w:t>
      </w:r>
      <w:r w:rsidRPr="00034C9E">
        <w:rPr>
          <w:rFonts w:cstheme="minorHAnsi"/>
          <w:lang w:val="en-US"/>
        </w:rPr>
        <w:t>when searching for the term Knee Arthroplasty, 1 descriptor appeared, “</w:t>
      </w:r>
      <w:proofErr w:type="spellStart"/>
      <w:r w:rsidRPr="00034C9E">
        <w:rPr>
          <w:rFonts w:cstheme="minorHAnsi"/>
          <w:lang w:val="en-US"/>
        </w:rPr>
        <w:t>Arthrosplasty</w:t>
      </w:r>
      <w:proofErr w:type="spellEnd"/>
      <w:r w:rsidRPr="00034C9E">
        <w:rPr>
          <w:rFonts w:cstheme="minorHAnsi"/>
          <w:lang w:val="en-US"/>
        </w:rPr>
        <w:t xml:space="preserve">, Replacement, Knee”; the term risk factors produced 6 descriptors, with descriptor 1, “Risk Factors”, being chosen; the term Surgical Site Infection did not produce any </w:t>
      </w:r>
      <w:r w:rsidRPr="00034C9E">
        <w:rPr>
          <w:rFonts w:cstheme="minorHAnsi"/>
          <w:lang w:val="en-US"/>
        </w:rPr>
        <w:lastRenderedPageBreak/>
        <w:t>descriptors, opting for the term Surgical Wound Infection, having only 1 result, the descriptor “Surgical Wound Infection”.</w:t>
      </w:r>
      <w:proofErr w:type="gramEnd"/>
      <w:r w:rsidRPr="00034C9E">
        <w:rPr>
          <w:rFonts w:cstheme="minorHAnsi"/>
          <w:lang w:val="en-US"/>
        </w:rPr>
        <w:t xml:space="preserve"> A complete search strategy was developed, through the definition of the Boolean phrase (“Arthroplasty, Replacement, Knee”) AND (“Risk Factors”) AND (“Surgical Wound Infection”) in the databases: MEDLINE (via </w:t>
      </w:r>
      <w:proofErr w:type="spellStart"/>
      <w:r w:rsidRPr="00034C9E">
        <w:rPr>
          <w:rFonts w:cstheme="minorHAnsi"/>
          <w:lang w:val="en-US"/>
        </w:rPr>
        <w:t>Pubmed</w:t>
      </w:r>
      <w:proofErr w:type="spellEnd"/>
      <w:r w:rsidRPr="00034C9E">
        <w:rPr>
          <w:rFonts w:cstheme="minorHAnsi"/>
          <w:lang w:val="en-US"/>
        </w:rPr>
        <w:t xml:space="preserve">), CINAHL, </w:t>
      </w:r>
      <w:proofErr w:type="spellStart"/>
      <w:r w:rsidRPr="00034C9E">
        <w:rPr>
          <w:rFonts w:cstheme="minorHAnsi"/>
          <w:lang w:val="en-US"/>
        </w:rPr>
        <w:t>SciELO</w:t>
      </w:r>
      <w:proofErr w:type="spellEnd"/>
      <w:r w:rsidRPr="00034C9E">
        <w:rPr>
          <w:rFonts w:cstheme="minorHAnsi"/>
          <w:lang w:val="en-US"/>
        </w:rPr>
        <w:t xml:space="preserve">, Scopus, LILACS, Cochrane Database of Systematic Reviews, in their adaptations to the different scientific databases, that is, using the selected terms as indexed terms or as natural terms. </w:t>
      </w:r>
      <w:r w:rsidRPr="00034C9E">
        <w:rPr>
          <w:rFonts w:cstheme="minorHAnsi"/>
          <w:lang w:val="en-US"/>
        </w:rPr>
        <w:t xml:space="preserve">Grey literature was searched in RCAAP (Portuguese Open Access Scientific Repository), DART- Europe and </w:t>
      </w:r>
      <w:proofErr w:type="spellStart"/>
      <w:r w:rsidRPr="00034C9E">
        <w:rPr>
          <w:rFonts w:cstheme="minorHAnsi"/>
          <w:lang w:val="en-US"/>
        </w:rPr>
        <w:t>OpenGrey</w:t>
      </w:r>
      <w:proofErr w:type="spellEnd"/>
      <w:r w:rsidRPr="00034C9E">
        <w:rPr>
          <w:rFonts w:cstheme="minorHAnsi"/>
          <w:lang w:val="en-US"/>
        </w:rPr>
        <w:t>. The bibliographic references included in all articles were analyzed, with the aim of identifying additional studies.</w:t>
      </w:r>
    </w:p>
    <w:p w14:paraId="430A1946" w14:textId="77777777" w:rsidR="004C6F29" w:rsidRDefault="00034C9E" w:rsidP="004C6F29">
      <w:pPr>
        <w:spacing w:after="0" w:line="360" w:lineRule="auto"/>
        <w:ind w:left="-170" w:right="-170"/>
        <w:jc w:val="both"/>
        <w:rPr>
          <w:rFonts w:cstheme="minorHAnsi"/>
          <w:lang w:val="en-US"/>
        </w:rPr>
      </w:pPr>
      <w:r w:rsidRPr="00034C9E">
        <w:rPr>
          <w:rFonts w:cstheme="minorHAnsi"/>
          <w:lang w:val="en-US"/>
        </w:rPr>
        <w:t>The selection result is shown in Figure 1 according to PRISMA-</w:t>
      </w:r>
      <w:proofErr w:type="spellStart"/>
      <w:r w:rsidRPr="00034C9E">
        <w:rPr>
          <w:rFonts w:cstheme="minorHAnsi"/>
          <w:lang w:val="en-US"/>
        </w:rPr>
        <w:t>ScR</w:t>
      </w:r>
      <w:proofErr w:type="spellEnd"/>
      <w:r w:rsidRPr="00034C9E">
        <w:rPr>
          <w:rFonts w:cstheme="minorHAnsi"/>
          <w:lang w:val="en-US"/>
        </w:rPr>
        <w:t xml:space="preserve"> (Preferred Reporting Items for Systematic Reviews and Meta-analyses extension for scoping review) (</w:t>
      </w:r>
      <w:proofErr w:type="spellStart"/>
      <w:r w:rsidRPr="00034C9E">
        <w:rPr>
          <w:rFonts w:cstheme="minorHAnsi"/>
          <w:lang w:val="en-US"/>
        </w:rPr>
        <w:t>Tricco</w:t>
      </w:r>
      <w:proofErr w:type="spellEnd"/>
      <w:r w:rsidRPr="00034C9E">
        <w:rPr>
          <w:rFonts w:cstheme="minorHAnsi"/>
          <w:lang w:val="en-US"/>
        </w:rPr>
        <w:t xml:space="preserve"> et al., 2018).</w:t>
      </w:r>
    </w:p>
    <w:p w14:paraId="78201ADC" w14:textId="77777777" w:rsidR="005C427E" w:rsidRDefault="005C427E" w:rsidP="004C6F29">
      <w:pPr>
        <w:spacing w:after="0" w:line="360" w:lineRule="auto"/>
        <w:ind w:left="-170" w:right="-170"/>
        <w:jc w:val="both"/>
        <w:rPr>
          <w:rFonts w:cstheme="minorHAnsi"/>
          <w:lang w:val="en-US"/>
        </w:rPr>
      </w:pPr>
    </w:p>
    <w:p w14:paraId="536323AE" w14:textId="2906776B" w:rsidR="005C427E" w:rsidRDefault="005C427E" w:rsidP="004C6F29">
      <w:pPr>
        <w:spacing w:after="0" w:line="360" w:lineRule="auto"/>
        <w:ind w:left="-170" w:right="-170"/>
        <w:jc w:val="both"/>
        <w:rPr>
          <w:rFonts w:cstheme="minorHAnsi"/>
          <w:lang w:val="en-US"/>
        </w:rPr>
        <w:sectPr w:rsidR="005C427E" w:rsidSect="004C6F29">
          <w:type w:val="continuous"/>
          <w:pgSz w:w="11906" w:h="16838"/>
          <w:pgMar w:top="993" w:right="1080" w:bottom="1418" w:left="1080" w:header="709" w:footer="709" w:gutter="0"/>
          <w:cols w:num="2" w:space="708"/>
          <w:titlePg/>
          <w:docGrid w:linePitch="360"/>
        </w:sectPr>
      </w:pPr>
    </w:p>
    <w:p w14:paraId="50049E85" w14:textId="3AEB6054" w:rsidR="004C6F29" w:rsidRPr="002E3994" w:rsidRDefault="002E3994" w:rsidP="005C427E">
      <w:pPr>
        <w:spacing w:after="0" w:line="360" w:lineRule="auto"/>
        <w:jc w:val="center"/>
        <w:rPr>
          <w:rFonts w:cstheme="minorHAnsi"/>
          <w:lang w:val="en-US"/>
        </w:rPr>
      </w:pPr>
      <w:r>
        <w:rPr>
          <w:noProof/>
        </w:rPr>
        <w:drawing>
          <wp:inline distT="0" distB="0" distL="0" distR="0" wp14:anchorId="72DB5CDD" wp14:editId="12010A21">
            <wp:extent cx="6025178" cy="5737122"/>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2314" t="24080" r="32267" b="15970"/>
                    <a:stretch/>
                  </pic:blipFill>
                  <pic:spPr bwMode="auto">
                    <a:xfrm>
                      <a:off x="0" y="0"/>
                      <a:ext cx="6124781" cy="5831963"/>
                    </a:xfrm>
                    <a:prstGeom prst="rect">
                      <a:avLst/>
                    </a:prstGeom>
                    <a:ln>
                      <a:noFill/>
                    </a:ln>
                    <a:extLst>
                      <a:ext uri="{53640926-AAD7-44D8-BBD7-CCE9431645EC}">
                        <a14:shadowObscured xmlns:a14="http://schemas.microsoft.com/office/drawing/2010/main"/>
                      </a:ext>
                    </a:extLst>
                  </pic:spPr>
                </pic:pic>
              </a:graphicData>
            </a:graphic>
          </wp:inline>
        </w:drawing>
      </w:r>
    </w:p>
    <w:p w14:paraId="07B73107" w14:textId="77777777" w:rsidR="004C6F29" w:rsidRDefault="00034C9E" w:rsidP="004C6F29">
      <w:pPr>
        <w:pStyle w:val="Legenda"/>
        <w:spacing w:line="240" w:lineRule="auto"/>
        <w:jc w:val="both"/>
        <w:rPr>
          <w:rFonts w:asciiTheme="minorHAnsi" w:eastAsiaTheme="minorHAnsi" w:hAnsiTheme="minorHAnsi" w:cstheme="minorHAnsi"/>
          <w:bCs w:val="0"/>
          <w:szCs w:val="22"/>
          <w:lang w:val="en-US"/>
        </w:rPr>
      </w:pPr>
      <w:r w:rsidRPr="002445D1">
        <w:rPr>
          <w:rFonts w:asciiTheme="minorHAnsi" w:eastAsiaTheme="minorHAnsi" w:hAnsiTheme="minorHAnsi" w:cstheme="minorHAnsi"/>
          <w:bCs w:val="0"/>
          <w:szCs w:val="22"/>
          <w:lang w:val="en-US"/>
        </w:rPr>
        <w:t>Figure 1</w:t>
      </w:r>
    </w:p>
    <w:p w14:paraId="342EB9B7" w14:textId="1A0BE7B2" w:rsidR="00034C9E" w:rsidRDefault="00034C9E" w:rsidP="004C6F29">
      <w:pPr>
        <w:pStyle w:val="Legenda"/>
        <w:spacing w:line="240" w:lineRule="auto"/>
        <w:jc w:val="both"/>
        <w:rPr>
          <w:rFonts w:asciiTheme="minorHAnsi" w:eastAsiaTheme="minorHAnsi" w:hAnsiTheme="minorHAnsi" w:cstheme="minorHAnsi"/>
          <w:bCs w:val="0"/>
          <w:szCs w:val="22"/>
          <w:lang w:val="en-US"/>
        </w:rPr>
      </w:pPr>
      <w:r w:rsidRPr="002445D1">
        <w:rPr>
          <w:rFonts w:asciiTheme="minorHAnsi" w:eastAsiaTheme="minorHAnsi" w:hAnsiTheme="minorHAnsi" w:cstheme="minorHAnsi"/>
          <w:bCs w:val="0"/>
          <w:szCs w:val="22"/>
          <w:lang w:val="en-US"/>
        </w:rPr>
        <w:t>Article selection flow diagram (adapted from PRISMA-</w:t>
      </w:r>
      <w:proofErr w:type="spellStart"/>
      <w:r w:rsidRPr="002445D1">
        <w:rPr>
          <w:rFonts w:asciiTheme="minorHAnsi" w:eastAsiaTheme="minorHAnsi" w:hAnsiTheme="minorHAnsi" w:cstheme="minorHAnsi"/>
          <w:bCs w:val="0"/>
          <w:szCs w:val="22"/>
          <w:lang w:val="en-US"/>
        </w:rPr>
        <w:t>ScR</w:t>
      </w:r>
      <w:proofErr w:type="spellEnd"/>
      <w:r w:rsidRPr="002445D1">
        <w:rPr>
          <w:rFonts w:asciiTheme="minorHAnsi" w:eastAsiaTheme="minorHAnsi" w:hAnsiTheme="minorHAnsi" w:cstheme="minorHAnsi"/>
          <w:bCs w:val="0"/>
          <w:szCs w:val="22"/>
          <w:lang w:val="en-US"/>
        </w:rPr>
        <w:t>) (</w:t>
      </w:r>
      <w:proofErr w:type="spellStart"/>
      <w:r w:rsidRPr="002445D1">
        <w:rPr>
          <w:rFonts w:asciiTheme="minorHAnsi" w:eastAsiaTheme="minorHAnsi" w:hAnsiTheme="minorHAnsi" w:cstheme="minorHAnsi"/>
          <w:bCs w:val="0"/>
          <w:szCs w:val="22"/>
          <w:lang w:val="en-US"/>
        </w:rPr>
        <w:t>Tricco</w:t>
      </w:r>
      <w:proofErr w:type="spellEnd"/>
      <w:r w:rsidRPr="002445D1">
        <w:rPr>
          <w:rFonts w:asciiTheme="minorHAnsi" w:eastAsiaTheme="minorHAnsi" w:hAnsiTheme="minorHAnsi" w:cstheme="minorHAnsi"/>
          <w:bCs w:val="0"/>
          <w:szCs w:val="22"/>
          <w:lang w:val="en-US"/>
        </w:rPr>
        <w:t xml:space="preserve"> et al., 2018)</w:t>
      </w:r>
    </w:p>
    <w:p w14:paraId="55C44BD0" w14:textId="77777777" w:rsidR="005C427E" w:rsidRPr="005C427E" w:rsidRDefault="005C427E" w:rsidP="005C427E">
      <w:pPr>
        <w:rPr>
          <w:lang w:val="en-US"/>
        </w:rPr>
      </w:pPr>
    </w:p>
    <w:p w14:paraId="58652264" w14:textId="77777777" w:rsidR="004C6F29" w:rsidRDefault="00034C9E" w:rsidP="004C6F29">
      <w:pPr>
        <w:pStyle w:val="Legenda"/>
        <w:spacing w:line="240" w:lineRule="auto"/>
        <w:ind w:left="-170" w:right="-170"/>
        <w:jc w:val="both"/>
        <w:rPr>
          <w:rFonts w:asciiTheme="minorHAnsi" w:hAnsiTheme="minorHAnsi" w:cstheme="minorHAnsi"/>
          <w:bCs w:val="0"/>
          <w:szCs w:val="22"/>
        </w:rPr>
      </w:pPr>
      <w:proofErr w:type="spellStart"/>
      <w:r w:rsidRPr="00F4023D">
        <w:rPr>
          <w:rFonts w:asciiTheme="minorHAnsi" w:hAnsiTheme="minorHAnsi" w:cstheme="minorHAnsi"/>
          <w:bCs w:val="0"/>
          <w:szCs w:val="22"/>
        </w:rPr>
        <w:t>Table</w:t>
      </w:r>
      <w:proofErr w:type="spellEnd"/>
      <w:r w:rsidRPr="00F4023D">
        <w:rPr>
          <w:rFonts w:asciiTheme="minorHAnsi" w:hAnsiTheme="minorHAnsi" w:cstheme="minorHAnsi"/>
          <w:bCs w:val="0"/>
          <w:szCs w:val="22"/>
        </w:rPr>
        <w:t xml:space="preserve"> </w:t>
      </w:r>
      <w:r w:rsidR="004C6F29">
        <w:rPr>
          <w:rFonts w:asciiTheme="minorHAnsi" w:hAnsiTheme="minorHAnsi" w:cstheme="minorHAnsi"/>
          <w:bCs w:val="0"/>
          <w:szCs w:val="22"/>
        </w:rPr>
        <w:t>1</w:t>
      </w:r>
    </w:p>
    <w:p w14:paraId="1599E4DC" w14:textId="19AB36E1" w:rsidR="003C60D9" w:rsidRPr="00F4023D" w:rsidRDefault="00034C9E" w:rsidP="001B5120">
      <w:pPr>
        <w:pStyle w:val="Legenda"/>
        <w:spacing w:after="120" w:line="240" w:lineRule="auto"/>
        <w:ind w:left="-170" w:right="-170"/>
        <w:jc w:val="both"/>
        <w:rPr>
          <w:rFonts w:asciiTheme="minorHAnsi" w:hAnsiTheme="minorHAnsi" w:cstheme="minorHAnsi"/>
          <w:bCs w:val="0"/>
          <w:szCs w:val="22"/>
        </w:rPr>
      </w:pPr>
      <w:proofErr w:type="spellStart"/>
      <w:r w:rsidRPr="00F4023D">
        <w:rPr>
          <w:rFonts w:asciiTheme="minorHAnsi" w:hAnsiTheme="minorHAnsi" w:cstheme="minorHAnsi"/>
          <w:bCs w:val="0"/>
          <w:szCs w:val="22"/>
        </w:rPr>
        <w:t>Selected</w:t>
      </w:r>
      <w:proofErr w:type="spellEnd"/>
      <w:r w:rsidRPr="00F4023D">
        <w:rPr>
          <w:rFonts w:asciiTheme="minorHAnsi" w:hAnsiTheme="minorHAnsi" w:cstheme="minorHAnsi"/>
          <w:bCs w:val="0"/>
          <w:szCs w:val="22"/>
        </w:rPr>
        <w:t xml:space="preserve"> </w:t>
      </w:r>
      <w:proofErr w:type="spellStart"/>
      <w:r w:rsidRPr="00F4023D">
        <w:rPr>
          <w:rFonts w:asciiTheme="minorHAnsi" w:hAnsiTheme="minorHAnsi" w:cstheme="minorHAnsi"/>
          <w:bCs w:val="0"/>
          <w:szCs w:val="22"/>
        </w:rPr>
        <w:t>studies</w:t>
      </w:r>
      <w:proofErr w:type="spellEnd"/>
    </w:p>
    <w:tbl>
      <w:tblPr>
        <w:tblStyle w:val="TabelacomGrelha"/>
        <w:tblW w:w="10065" w:type="dxa"/>
        <w:tblInd w:w="-142" w:type="dxa"/>
        <w:tblBorders>
          <w:left w:val="none" w:sz="0" w:space="0" w:color="auto"/>
          <w:right w:val="none" w:sz="0" w:space="0" w:color="auto"/>
        </w:tblBorders>
        <w:tblLook w:val="04A0" w:firstRow="1" w:lastRow="0" w:firstColumn="1" w:lastColumn="0" w:noHBand="0" w:noVBand="1"/>
      </w:tblPr>
      <w:tblGrid>
        <w:gridCol w:w="764"/>
        <w:gridCol w:w="6624"/>
        <w:gridCol w:w="1407"/>
        <w:gridCol w:w="1270"/>
      </w:tblGrid>
      <w:tr w:rsidR="009A78A5" w:rsidRPr="00F4023D" w14:paraId="15D11633" w14:textId="0FE42704" w:rsidTr="004C6F29">
        <w:trPr>
          <w:trHeight w:val="455"/>
        </w:trPr>
        <w:tc>
          <w:tcPr>
            <w:tcW w:w="709" w:type="dxa"/>
            <w:vAlign w:val="center"/>
          </w:tcPr>
          <w:p w14:paraId="561798A8" w14:textId="63D873F7" w:rsidR="0038613F" w:rsidRPr="00F4023D" w:rsidRDefault="00034C9E" w:rsidP="004C6F29">
            <w:pPr>
              <w:jc w:val="center"/>
              <w:rPr>
                <w:rFonts w:cstheme="minorHAnsi"/>
                <w:b/>
                <w:bCs/>
                <w:sz w:val="18"/>
                <w:szCs w:val="18"/>
              </w:rPr>
            </w:pPr>
            <w:proofErr w:type="spellStart"/>
            <w:r w:rsidRPr="00F4023D">
              <w:rPr>
                <w:rFonts w:cstheme="minorHAnsi"/>
                <w:b/>
                <w:bCs/>
                <w:sz w:val="18"/>
                <w:szCs w:val="18"/>
              </w:rPr>
              <w:t>Studies</w:t>
            </w:r>
            <w:proofErr w:type="spellEnd"/>
            <w:r w:rsidRPr="00F4023D">
              <w:rPr>
                <w:rFonts w:cstheme="minorHAnsi"/>
                <w:b/>
                <w:bCs/>
                <w:sz w:val="18"/>
                <w:szCs w:val="18"/>
              </w:rPr>
              <w:t xml:space="preserve"> (E)</w:t>
            </w:r>
          </w:p>
        </w:tc>
        <w:tc>
          <w:tcPr>
            <w:tcW w:w="6673" w:type="dxa"/>
            <w:vAlign w:val="center"/>
          </w:tcPr>
          <w:p w14:paraId="624856B2" w14:textId="486BA2E2" w:rsidR="0038613F" w:rsidRPr="00F4023D" w:rsidRDefault="00034C9E" w:rsidP="004C6F29">
            <w:pPr>
              <w:jc w:val="center"/>
              <w:rPr>
                <w:rFonts w:cstheme="minorHAnsi"/>
                <w:b/>
                <w:bCs/>
                <w:sz w:val="18"/>
                <w:szCs w:val="18"/>
              </w:rPr>
            </w:pPr>
            <w:proofErr w:type="spellStart"/>
            <w:r w:rsidRPr="00F4023D">
              <w:rPr>
                <w:rFonts w:cstheme="minorHAnsi"/>
                <w:b/>
                <w:bCs/>
                <w:sz w:val="18"/>
                <w:szCs w:val="18"/>
              </w:rPr>
              <w:t>Title</w:t>
            </w:r>
            <w:proofErr w:type="spellEnd"/>
            <w:r w:rsidRPr="00F4023D">
              <w:rPr>
                <w:rFonts w:cstheme="minorHAnsi"/>
                <w:b/>
                <w:bCs/>
                <w:sz w:val="18"/>
                <w:szCs w:val="18"/>
              </w:rPr>
              <w:t xml:space="preserve"> </w:t>
            </w:r>
            <w:proofErr w:type="spellStart"/>
            <w:r w:rsidRPr="00F4023D">
              <w:rPr>
                <w:rFonts w:cstheme="minorHAnsi"/>
                <w:b/>
                <w:bCs/>
                <w:sz w:val="18"/>
                <w:szCs w:val="18"/>
              </w:rPr>
              <w:t>Author</w:t>
            </w:r>
            <w:proofErr w:type="spellEnd"/>
            <w:r w:rsidRPr="00F4023D">
              <w:rPr>
                <w:rFonts w:cstheme="minorHAnsi"/>
                <w:b/>
                <w:bCs/>
                <w:sz w:val="18"/>
                <w:szCs w:val="18"/>
              </w:rPr>
              <w:t>(s)</w:t>
            </w:r>
          </w:p>
        </w:tc>
        <w:tc>
          <w:tcPr>
            <w:tcW w:w="1411" w:type="dxa"/>
            <w:vAlign w:val="center"/>
          </w:tcPr>
          <w:p w14:paraId="0C32D990" w14:textId="0C51FF50" w:rsidR="0038613F" w:rsidRPr="00F4023D" w:rsidRDefault="00034C9E" w:rsidP="004C6F29">
            <w:pPr>
              <w:jc w:val="center"/>
              <w:rPr>
                <w:rFonts w:cstheme="minorHAnsi"/>
                <w:b/>
                <w:bCs/>
                <w:sz w:val="18"/>
                <w:szCs w:val="18"/>
              </w:rPr>
            </w:pPr>
            <w:proofErr w:type="spellStart"/>
            <w:r w:rsidRPr="00F4023D">
              <w:rPr>
                <w:rFonts w:cstheme="minorHAnsi"/>
                <w:b/>
                <w:bCs/>
                <w:sz w:val="18"/>
                <w:szCs w:val="18"/>
              </w:rPr>
              <w:t>Author</w:t>
            </w:r>
            <w:proofErr w:type="spellEnd"/>
            <w:r w:rsidRPr="00F4023D">
              <w:rPr>
                <w:rFonts w:cstheme="minorHAnsi"/>
                <w:b/>
                <w:bCs/>
                <w:sz w:val="18"/>
                <w:szCs w:val="18"/>
              </w:rPr>
              <w:t>(s)</w:t>
            </w:r>
          </w:p>
        </w:tc>
        <w:tc>
          <w:tcPr>
            <w:tcW w:w="1272" w:type="dxa"/>
            <w:vAlign w:val="center"/>
          </w:tcPr>
          <w:p w14:paraId="3EB972E9" w14:textId="0D3551B8" w:rsidR="0038613F" w:rsidRPr="00F4023D" w:rsidRDefault="00034C9E" w:rsidP="004C6F29">
            <w:pPr>
              <w:jc w:val="center"/>
              <w:rPr>
                <w:rFonts w:cstheme="minorHAnsi"/>
                <w:b/>
                <w:bCs/>
                <w:sz w:val="18"/>
                <w:szCs w:val="18"/>
              </w:rPr>
            </w:pPr>
            <w:r w:rsidRPr="00F4023D">
              <w:rPr>
                <w:rFonts w:cstheme="minorHAnsi"/>
                <w:b/>
                <w:bCs/>
                <w:sz w:val="18"/>
                <w:szCs w:val="18"/>
              </w:rPr>
              <w:t>Country</w:t>
            </w:r>
          </w:p>
        </w:tc>
      </w:tr>
      <w:tr w:rsidR="009A78A5" w:rsidRPr="00F4023D" w14:paraId="39980D24" w14:textId="6B7A1FCC" w:rsidTr="004C6F29">
        <w:trPr>
          <w:trHeight w:val="487"/>
        </w:trPr>
        <w:tc>
          <w:tcPr>
            <w:tcW w:w="709" w:type="dxa"/>
            <w:vAlign w:val="center"/>
          </w:tcPr>
          <w:p w14:paraId="114D4E70" w14:textId="77777777" w:rsidR="0038613F" w:rsidRPr="00F4023D" w:rsidRDefault="0038613F" w:rsidP="004C6F29">
            <w:pPr>
              <w:jc w:val="center"/>
              <w:rPr>
                <w:rFonts w:cstheme="minorHAnsi"/>
                <w:sz w:val="18"/>
                <w:szCs w:val="18"/>
              </w:rPr>
            </w:pPr>
            <w:r w:rsidRPr="00F4023D">
              <w:rPr>
                <w:rFonts w:cstheme="minorHAnsi"/>
                <w:sz w:val="18"/>
                <w:szCs w:val="18"/>
              </w:rPr>
              <w:t>E1</w:t>
            </w:r>
          </w:p>
        </w:tc>
        <w:tc>
          <w:tcPr>
            <w:tcW w:w="6673" w:type="dxa"/>
          </w:tcPr>
          <w:p w14:paraId="5DC6E318" w14:textId="77777777" w:rsidR="0038613F" w:rsidRPr="00F4023D" w:rsidRDefault="0038613F" w:rsidP="004C6F29">
            <w:pPr>
              <w:autoSpaceDE w:val="0"/>
              <w:autoSpaceDN w:val="0"/>
              <w:adjustRightInd w:val="0"/>
              <w:ind w:left="-104"/>
              <w:rPr>
                <w:rFonts w:cstheme="minorHAnsi"/>
                <w:i/>
                <w:iCs/>
                <w:sz w:val="18"/>
                <w:szCs w:val="18"/>
                <w:lang w:val="en-US"/>
              </w:rPr>
            </w:pPr>
            <w:r w:rsidRPr="00F4023D">
              <w:rPr>
                <w:rFonts w:cstheme="minorHAnsi"/>
                <w:i/>
                <w:iCs/>
                <w:sz w:val="18"/>
                <w:szCs w:val="18"/>
                <w:lang w:val="en-US"/>
              </w:rPr>
              <w:t>“Age as a risk factor for surgical site infections: German surveillance data on total hip replacement and total knee replacement procedures 2009 to 2018”</w:t>
            </w:r>
          </w:p>
        </w:tc>
        <w:tc>
          <w:tcPr>
            <w:tcW w:w="1411" w:type="dxa"/>
          </w:tcPr>
          <w:p w14:paraId="320309B4" w14:textId="77777777" w:rsidR="0038613F" w:rsidRPr="00F4023D" w:rsidRDefault="0038613F" w:rsidP="004C6F29">
            <w:pPr>
              <w:jc w:val="center"/>
              <w:rPr>
                <w:rFonts w:cstheme="minorHAnsi"/>
                <w:sz w:val="18"/>
                <w:szCs w:val="18"/>
                <w:lang w:val="en-US"/>
              </w:rPr>
            </w:pPr>
            <w:r w:rsidRPr="00F4023D">
              <w:rPr>
                <w:rFonts w:cstheme="minorHAnsi"/>
                <w:sz w:val="18"/>
                <w:szCs w:val="18"/>
                <w:lang w:val="en-US"/>
              </w:rPr>
              <w:t>(Bischoff et al, 2023)</w:t>
            </w:r>
          </w:p>
        </w:tc>
        <w:tc>
          <w:tcPr>
            <w:tcW w:w="1272" w:type="dxa"/>
            <w:vAlign w:val="center"/>
          </w:tcPr>
          <w:p w14:paraId="4722B611" w14:textId="2E8CDB86" w:rsidR="0038613F" w:rsidRPr="00F4023D" w:rsidRDefault="00034C9E" w:rsidP="004C6F29">
            <w:pPr>
              <w:jc w:val="center"/>
              <w:rPr>
                <w:rFonts w:cstheme="minorHAnsi"/>
                <w:sz w:val="18"/>
                <w:szCs w:val="18"/>
                <w:lang w:val="en-US"/>
              </w:rPr>
            </w:pPr>
            <w:r w:rsidRPr="00F4023D">
              <w:rPr>
                <w:rFonts w:cstheme="minorHAnsi"/>
                <w:sz w:val="18"/>
                <w:szCs w:val="18"/>
                <w:lang w:val="en-US"/>
              </w:rPr>
              <w:t>Germany</w:t>
            </w:r>
          </w:p>
        </w:tc>
      </w:tr>
      <w:tr w:rsidR="009A78A5" w:rsidRPr="002E3994" w14:paraId="2F235141" w14:textId="19AF85D1" w:rsidTr="004C6F29">
        <w:tc>
          <w:tcPr>
            <w:tcW w:w="709" w:type="dxa"/>
            <w:vAlign w:val="center"/>
          </w:tcPr>
          <w:p w14:paraId="193CF440" w14:textId="77777777" w:rsidR="0038613F" w:rsidRPr="00F4023D" w:rsidRDefault="0038613F" w:rsidP="004C6F29">
            <w:pPr>
              <w:jc w:val="center"/>
              <w:rPr>
                <w:rFonts w:cstheme="minorHAnsi"/>
                <w:sz w:val="18"/>
                <w:szCs w:val="18"/>
              </w:rPr>
            </w:pPr>
            <w:r w:rsidRPr="00F4023D">
              <w:rPr>
                <w:rFonts w:cstheme="minorHAnsi"/>
                <w:sz w:val="18"/>
                <w:szCs w:val="18"/>
              </w:rPr>
              <w:t>E2</w:t>
            </w:r>
          </w:p>
        </w:tc>
        <w:tc>
          <w:tcPr>
            <w:tcW w:w="6673" w:type="dxa"/>
          </w:tcPr>
          <w:p w14:paraId="5272EA61" w14:textId="77777777" w:rsidR="0038613F" w:rsidRPr="00F4023D" w:rsidRDefault="0038613F" w:rsidP="004C6F29">
            <w:pPr>
              <w:ind w:left="-104"/>
              <w:rPr>
                <w:rFonts w:cstheme="minorHAnsi"/>
                <w:i/>
                <w:iCs/>
                <w:sz w:val="18"/>
                <w:szCs w:val="18"/>
                <w:lang w:val="en-US"/>
              </w:rPr>
            </w:pPr>
            <w:r w:rsidRPr="00F4023D">
              <w:rPr>
                <w:rFonts w:cstheme="minorHAnsi"/>
                <w:i/>
                <w:iCs/>
                <w:sz w:val="18"/>
                <w:szCs w:val="18"/>
                <w:lang w:val="en-US"/>
              </w:rPr>
              <w:t>“Albumin, Prealbumin, and Transferrin May Be Predictive of Wound Complications following Total Knee Arthroplasty”</w:t>
            </w:r>
          </w:p>
        </w:tc>
        <w:tc>
          <w:tcPr>
            <w:tcW w:w="1411" w:type="dxa"/>
          </w:tcPr>
          <w:p w14:paraId="1D966EBF" w14:textId="77777777" w:rsidR="0038613F" w:rsidRPr="00F4023D" w:rsidRDefault="0038613F" w:rsidP="004C6F29">
            <w:pPr>
              <w:jc w:val="center"/>
              <w:rPr>
                <w:rFonts w:cstheme="minorHAnsi"/>
                <w:sz w:val="18"/>
                <w:szCs w:val="18"/>
                <w:lang w:val="en-US"/>
              </w:rPr>
            </w:pPr>
            <w:r w:rsidRPr="00F4023D">
              <w:rPr>
                <w:rFonts w:cstheme="minorHAnsi"/>
                <w:sz w:val="18"/>
                <w:szCs w:val="18"/>
                <w:lang w:val="en-US"/>
              </w:rPr>
              <w:t>(Roche et al, 2018)</w:t>
            </w:r>
          </w:p>
        </w:tc>
        <w:tc>
          <w:tcPr>
            <w:tcW w:w="1272" w:type="dxa"/>
            <w:vAlign w:val="center"/>
          </w:tcPr>
          <w:p w14:paraId="7DAD5C05" w14:textId="76014BCB" w:rsidR="0038613F" w:rsidRPr="00F4023D" w:rsidRDefault="00034C9E" w:rsidP="004C6F29">
            <w:pPr>
              <w:jc w:val="center"/>
              <w:rPr>
                <w:rFonts w:cstheme="minorHAnsi"/>
                <w:sz w:val="18"/>
                <w:szCs w:val="18"/>
                <w:lang w:val="en-US"/>
              </w:rPr>
            </w:pPr>
            <w:r w:rsidRPr="00F4023D">
              <w:rPr>
                <w:rFonts w:cstheme="minorHAnsi"/>
                <w:sz w:val="18"/>
                <w:szCs w:val="18"/>
                <w:lang w:val="en-US"/>
              </w:rPr>
              <w:t>United States of America (USA)</w:t>
            </w:r>
          </w:p>
        </w:tc>
      </w:tr>
      <w:tr w:rsidR="009A78A5" w:rsidRPr="00F4023D" w14:paraId="76F4CF52" w14:textId="7EB01563" w:rsidTr="004C6F29">
        <w:tc>
          <w:tcPr>
            <w:tcW w:w="709" w:type="dxa"/>
            <w:vAlign w:val="center"/>
          </w:tcPr>
          <w:p w14:paraId="78F10978" w14:textId="77777777" w:rsidR="0038613F" w:rsidRPr="00F4023D" w:rsidRDefault="0038613F" w:rsidP="004C6F29">
            <w:pPr>
              <w:jc w:val="center"/>
              <w:rPr>
                <w:rFonts w:cstheme="minorHAnsi"/>
                <w:sz w:val="18"/>
                <w:szCs w:val="18"/>
              </w:rPr>
            </w:pPr>
            <w:r w:rsidRPr="00F4023D">
              <w:rPr>
                <w:rFonts w:cstheme="minorHAnsi"/>
                <w:sz w:val="18"/>
                <w:szCs w:val="18"/>
              </w:rPr>
              <w:t>E3</w:t>
            </w:r>
          </w:p>
        </w:tc>
        <w:tc>
          <w:tcPr>
            <w:tcW w:w="6673" w:type="dxa"/>
          </w:tcPr>
          <w:p w14:paraId="52053F26" w14:textId="77777777" w:rsidR="0038613F" w:rsidRPr="00F4023D" w:rsidRDefault="0038613F" w:rsidP="004C6F29">
            <w:pPr>
              <w:ind w:left="-104"/>
              <w:rPr>
                <w:rFonts w:cstheme="minorHAnsi"/>
                <w:i/>
                <w:iCs/>
                <w:sz w:val="18"/>
                <w:szCs w:val="18"/>
                <w:lang w:val="en-US"/>
              </w:rPr>
            </w:pPr>
            <w:r w:rsidRPr="00F4023D">
              <w:rPr>
                <w:rFonts w:cstheme="minorHAnsi"/>
                <w:i/>
                <w:iCs/>
                <w:sz w:val="18"/>
                <w:szCs w:val="18"/>
                <w:lang w:val="en-US"/>
              </w:rPr>
              <w:t>“Assessment of Predictors of Infection in Primary Knee and Hip Arthroplasty: A Case-control Study”</w:t>
            </w:r>
          </w:p>
        </w:tc>
        <w:tc>
          <w:tcPr>
            <w:tcW w:w="1411" w:type="dxa"/>
          </w:tcPr>
          <w:p w14:paraId="2E5466B4" w14:textId="77777777" w:rsidR="0038613F" w:rsidRPr="00F4023D" w:rsidRDefault="0038613F" w:rsidP="004C6F29">
            <w:pPr>
              <w:jc w:val="center"/>
              <w:rPr>
                <w:rFonts w:cstheme="minorHAnsi"/>
                <w:sz w:val="18"/>
                <w:szCs w:val="18"/>
              </w:rPr>
            </w:pPr>
            <w:r w:rsidRPr="00F4023D">
              <w:rPr>
                <w:rFonts w:cstheme="minorHAnsi"/>
                <w:sz w:val="18"/>
                <w:szCs w:val="18"/>
              </w:rPr>
              <w:t>(</w:t>
            </w:r>
            <w:proofErr w:type="spellStart"/>
            <w:r w:rsidRPr="00F4023D">
              <w:rPr>
                <w:rFonts w:cstheme="minorHAnsi"/>
                <w:sz w:val="18"/>
                <w:szCs w:val="18"/>
              </w:rPr>
              <w:t>Falótico</w:t>
            </w:r>
            <w:proofErr w:type="spellEnd"/>
            <w:r w:rsidRPr="00F4023D">
              <w:rPr>
                <w:rFonts w:cstheme="minorHAnsi"/>
                <w:sz w:val="18"/>
                <w:szCs w:val="18"/>
              </w:rPr>
              <w:t xml:space="preserve"> </w:t>
            </w:r>
            <w:proofErr w:type="spellStart"/>
            <w:r w:rsidRPr="00F4023D">
              <w:rPr>
                <w:rFonts w:cstheme="minorHAnsi"/>
                <w:sz w:val="18"/>
                <w:szCs w:val="18"/>
              </w:rPr>
              <w:t>et</w:t>
            </w:r>
            <w:proofErr w:type="spellEnd"/>
            <w:r w:rsidRPr="00F4023D">
              <w:rPr>
                <w:rFonts w:cstheme="minorHAnsi"/>
                <w:sz w:val="18"/>
                <w:szCs w:val="18"/>
              </w:rPr>
              <w:t xml:space="preserve"> al, 2022)</w:t>
            </w:r>
          </w:p>
        </w:tc>
        <w:tc>
          <w:tcPr>
            <w:tcW w:w="1272" w:type="dxa"/>
            <w:vAlign w:val="center"/>
          </w:tcPr>
          <w:p w14:paraId="4431749F" w14:textId="569FB770" w:rsidR="0038613F" w:rsidRPr="00F4023D" w:rsidRDefault="00034C9E" w:rsidP="004C6F29">
            <w:pPr>
              <w:jc w:val="center"/>
              <w:rPr>
                <w:rFonts w:cstheme="minorHAnsi"/>
                <w:sz w:val="18"/>
                <w:szCs w:val="18"/>
              </w:rPr>
            </w:pPr>
            <w:proofErr w:type="spellStart"/>
            <w:r w:rsidRPr="00F4023D">
              <w:rPr>
                <w:rFonts w:cstheme="minorHAnsi"/>
                <w:sz w:val="18"/>
                <w:szCs w:val="18"/>
              </w:rPr>
              <w:t>Brazil</w:t>
            </w:r>
            <w:proofErr w:type="spellEnd"/>
          </w:p>
        </w:tc>
      </w:tr>
      <w:tr w:rsidR="009A78A5" w:rsidRPr="00F4023D" w14:paraId="4FDC4591" w14:textId="3853C2C4" w:rsidTr="004C6F29">
        <w:tc>
          <w:tcPr>
            <w:tcW w:w="709" w:type="dxa"/>
            <w:vAlign w:val="center"/>
          </w:tcPr>
          <w:p w14:paraId="28C26504" w14:textId="77777777" w:rsidR="0038613F" w:rsidRPr="00F4023D" w:rsidRDefault="0038613F" w:rsidP="004C6F29">
            <w:pPr>
              <w:jc w:val="center"/>
              <w:rPr>
                <w:rFonts w:cstheme="minorHAnsi"/>
                <w:sz w:val="18"/>
                <w:szCs w:val="18"/>
              </w:rPr>
            </w:pPr>
            <w:r w:rsidRPr="00F4023D">
              <w:rPr>
                <w:rFonts w:cstheme="minorHAnsi"/>
                <w:sz w:val="18"/>
                <w:szCs w:val="18"/>
              </w:rPr>
              <w:t>E4</w:t>
            </w:r>
          </w:p>
        </w:tc>
        <w:tc>
          <w:tcPr>
            <w:tcW w:w="6673" w:type="dxa"/>
          </w:tcPr>
          <w:p w14:paraId="44AA1768" w14:textId="77777777" w:rsidR="0038613F" w:rsidRPr="00F4023D" w:rsidRDefault="0038613F" w:rsidP="004C6F29">
            <w:pPr>
              <w:ind w:left="-104"/>
              <w:rPr>
                <w:rFonts w:cstheme="minorHAnsi"/>
                <w:i/>
                <w:iCs/>
                <w:sz w:val="18"/>
                <w:szCs w:val="18"/>
                <w:lang w:val="en-US"/>
              </w:rPr>
            </w:pPr>
            <w:r w:rsidRPr="00F4023D">
              <w:rPr>
                <w:rFonts w:cstheme="minorHAnsi"/>
                <w:i/>
                <w:iCs/>
                <w:sz w:val="18"/>
                <w:szCs w:val="18"/>
                <w:lang w:val="en-US"/>
              </w:rPr>
              <w:t>“Better Operating Room Ventilation as Determined by a Novel Ventilation Index is Associated with Lower Rates of Surgical Site Infections”</w:t>
            </w:r>
          </w:p>
        </w:tc>
        <w:tc>
          <w:tcPr>
            <w:tcW w:w="1411" w:type="dxa"/>
          </w:tcPr>
          <w:p w14:paraId="4C50B929" w14:textId="77777777" w:rsidR="0038613F" w:rsidRPr="00F4023D" w:rsidRDefault="0038613F" w:rsidP="004C6F29">
            <w:pPr>
              <w:jc w:val="center"/>
              <w:rPr>
                <w:rFonts w:cstheme="minorHAnsi"/>
                <w:sz w:val="18"/>
                <w:szCs w:val="18"/>
                <w:lang w:val="en-US"/>
              </w:rPr>
            </w:pPr>
            <w:r w:rsidRPr="00F4023D">
              <w:rPr>
                <w:rFonts w:cstheme="minorHAnsi"/>
                <w:sz w:val="18"/>
                <w:szCs w:val="18"/>
                <w:lang w:val="en-US"/>
              </w:rPr>
              <w:t>(</w:t>
            </w:r>
            <w:proofErr w:type="spellStart"/>
            <w:r w:rsidRPr="00F4023D">
              <w:rPr>
                <w:rFonts w:cstheme="minorHAnsi"/>
                <w:sz w:val="18"/>
                <w:szCs w:val="18"/>
                <w:lang w:val="en-US"/>
              </w:rPr>
              <w:t>Surial</w:t>
            </w:r>
            <w:proofErr w:type="spellEnd"/>
            <w:r w:rsidRPr="00F4023D">
              <w:rPr>
                <w:rFonts w:cstheme="minorHAnsi"/>
                <w:sz w:val="18"/>
                <w:szCs w:val="18"/>
                <w:lang w:val="en-US"/>
              </w:rPr>
              <w:t xml:space="preserve"> et al, 2022)</w:t>
            </w:r>
          </w:p>
        </w:tc>
        <w:tc>
          <w:tcPr>
            <w:tcW w:w="1272" w:type="dxa"/>
            <w:vAlign w:val="center"/>
          </w:tcPr>
          <w:p w14:paraId="0063AC3A" w14:textId="5A319C8E" w:rsidR="0038613F" w:rsidRPr="00F4023D" w:rsidRDefault="00034C9E" w:rsidP="004C6F29">
            <w:pPr>
              <w:jc w:val="center"/>
              <w:rPr>
                <w:rFonts w:cstheme="minorHAnsi"/>
                <w:sz w:val="18"/>
                <w:szCs w:val="18"/>
                <w:lang w:val="en-US"/>
              </w:rPr>
            </w:pPr>
            <w:r w:rsidRPr="00F4023D">
              <w:rPr>
                <w:rFonts w:cstheme="minorHAnsi"/>
                <w:sz w:val="18"/>
                <w:szCs w:val="18"/>
                <w:lang w:val="en-US"/>
              </w:rPr>
              <w:t>Switzerland</w:t>
            </w:r>
          </w:p>
        </w:tc>
      </w:tr>
      <w:tr w:rsidR="009A78A5" w:rsidRPr="00F4023D" w14:paraId="0AF36902" w14:textId="0AD2EA71" w:rsidTr="004C6F29">
        <w:trPr>
          <w:trHeight w:val="490"/>
        </w:trPr>
        <w:tc>
          <w:tcPr>
            <w:tcW w:w="709" w:type="dxa"/>
            <w:vAlign w:val="center"/>
          </w:tcPr>
          <w:p w14:paraId="5065A630" w14:textId="77777777" w:rsidR="0038613F" w:rsidRPr="00F4023D" w:rsidRDefault="0038613F" w:rsidP="004C6F29">
            <w:pPr>
              <w:jc w:val="center"/>
              <w:rPr>
                <w:rFonts w:cstheme="minorHAnsi"/>
                <w:sz w:val="18"/>
                <w:szCs w:val="18"/>
              </w:rPr>
            </w:pPr>
            <w:r w:rsidRPr="00F4023D">
              <w:rPr>
                <w:rFonts w:cstheme="minorHAnsi"/>
                <w:sz w:val="18"/>
                <w:szCs w:val="18"/>
              </w:rPr>
              <w:t>E5</w:t>
            </w:r>
          </w:p>
        </w:tc>
        <w:tc>
          <w:tcPr>
            <w:tcW w:w="6673" w:type="dxa"/>
          </w:tcPr>
          <w:p w14:paraId="66A56976" w14:textId="77777777" w:rsidR="0038613F" w:rsidRPr="00F4023D" w:rsidRDefault="0038613F" w:rsidP="004C6F29">
            <w:pPr>
              <w:ind w:left="-104"/>
              <w:rPr>
                <w:rFonts w:cstheme="minorHAnsi"/>
                <w:i/>
                <w:iCs/>
                <w:sz w:val="18"/>
                <w:szCs w:val="18"/>
                <w:lang w:val="en-US"/>
              </w:rPr>
            </w:pPr>
            <w:r w:rsidRPr="00F4023D">
              <w:rPr>
                <w:rFonts w:cstheme="minorHAnsi"/>
                <w:i/>
                <w:iCs/>
                <w:sz w:val="18"/>
                <w:szCs w:val="18"/>
                <w:lang w:val="en-US"/>
              </w:rPr>
              <w:t>“Central sensitization is a risk factor for wound complications after primary total knee arthroplasty”</w:t>
            </w:r>
          </w:p>
        </w:tc>
        <w:tc>
          <w:tcPr>
            <w:tcW w:w="1411" w:type="dxa"/>
          </w:tcPr>
          <w:p w14:paraId="72CBAE87" w14:textId="77777777" w:rsidR="0038613F" w:rsidRPr="00F4023D" w:rsidRDefault="0038613F" w:rsidP="004C6F29">
            <w:pPr>
              <w:jc w:val="center"/>
              <w:rPr>
                <w:rFonts w:cstheme="minorHAnsi"/>
                <w:sz w:val="18"/>
                <w:szCs w:val="18"/>
                <w:lang w:val="en-US"/>
              </w:rPr>
            </w:pPr>
            <w:r w:rsidRPr="00F4023D">
              <w:rPr>
                <w:rFonts w:cstheme="minorHAnsi"/>
                <w:sz w:val="18"/>
                <w:szCs w:val="18"/>
                <w:lang w:val="en-US"/>
              </w:rPr>
              <w:t>(Kim et al, 2018)</w:t>
            </w:r>
          </w:p>
        </w:tc>
        <w:tc>
          <w:tcPr>
            <w:tcW w:w="1272" w:type="dxa"/>
            <w:vAlign w:val="center"/>
          </w:tcPr>
          <w:p w14:paraId="58789B76" w14:textId="2A57919E" w:rsidR="0038613F" w:rsidRPr="00F4023D" w:rsidRDefault="00034C9E" w:rsidP="004C6F29">
            <w:pPr>
              <w:jc w:val="center"/>
              <w:rPr>
                <w:rFonts w:cstheme="minorHAnsi"/>
                <w:sz w:val="18"/>
                <w:szCs w:val="18"/>
                <w:lang w:val="en-US"/>
              </w:rPr>
            </w:pPr>
            <w:r w:rsidRPr="00F4023D">
              <w:rPr>
                <w:rFonts w:cstheme="minorHAnsi"/>
                <w:sz w:val="18"/>
                <w:szCs w:val="18"/>
                <w:lang w:val="en-US"/>
              </w:rPr>
              <w:t>South Korea</w:t>
            </w:r>
          </w:p>
        </w:tc>
      </w:tr>
      <w:tr w:rsidR="009A78A5" w:rsidRPr="00F4023D" w14:paraId="5D33E1BF" w14:textId="25F0DEBE" w:rsidTr="004C6F29">
        <w:tc>
          <w:tcPr>
            <w:tcW w:w="709" w:type="dxa"/>
            <w:vAlign w:val="center"/>
          </w:tcPr>
          <w:p w14:paraId="37101DDC" w14:textId="77777777" w:rsidR="0038613F" w:rsidRPr="00F4023D" w:rsidRDefault="0038613F" w:rsidP="004C6F29">
            <w:pPr>
              <w:jc w:val="center"/>
              <w:rPr>
                <w:rFonts w:cstheme="minorHAnsi"/>
                <w:sz w:val="18"/>
                <w:szCs w:val="18"/>
              </w:rPr>
            </w:pPr>
            <w:r w:rsidRPr="00F4023D">
              <w:rPr>
                <w:rFonts w:cstheme="minorHAnsi"/>
                <w:sz w:val="18"/>
                <w:szCs w:val="18"/>
              </w:rPr>
              <w:t>E6</w:t>
            </w:r>
          </w:p>
        </w:tc>
        <w:tc>
          <w:tcPr>
            <w:tcW w:w="6673" w:type="dxa"/>
          </w:tcPr>
          <w:p w14:paraId="00565A3E" w14:textId="77777777" w:rsidR="0038613F" w:rsidRPr="00F4023D" w:rsidRDefault="0038613F" w:rsidP="004C6F29">
            <w:pPr>
              <w:ind w:left="-104"/>
              <w:rPr>
                <w:rFonts w:cstheme="minorHAnsi"/>
                <w:i/>
                <w:iCs/>
                <w:sz w:val="18"/>
                <w:szCs w:val="18"/>
                <w:lang w:val="en-US"/>
              </w:rPr>
            </w:pPr>
            <w:r w:rsidRPr="00F4023D">
              <w:rPr>
                <w:rFonts w:cstheme="minorHAnsi"/>
                <w:i/>
                <w:iCs/>
                <w:sz w:val="18"/>
                <w:szCs w:val="18"/>
                <w:lang w:val="en-US"/>
              </w:rPr>
              <w:t>“History of Diabetic Foot Ulcer is Associated with Increased Risk of Prosthetic Joint Infection and Sepsis After Total Joint Arthroplasty”</w:t>
            </w:r>
          </w:p>
        </w:tc>
        <w:tc>
          <w:tcPr>
            <w:tcW w:w="1411" w:type="dxa"/>
          </w:tcPr>
          <w:p w14:paraId="0BD09D6C" w14:textId="77777777" w:rsidR="0038613F" w:rsidRPr="00F4023D" w:rsidRDefault="0038613F" w:rsidP="004C6F29">
            <w:pPr>
              <w:jc w:val="center"/>
              <w:rPr>
                <w:rFonts w:cstheme="minorHAnsi"/>
                <w:sz w:val="18"/>
                <w:szCs w:val="18"/>
                <w:lang w:val="en-US"/>
              </w:rPr>
            </w:pPr>
            <w:r w:rsidRPr="00F4023D">
              <w:rPr>
                <w:rFonts w:cstheme="minorHAnsi"/>
                <w:sz w:val="18"/>
                <w:szCs w:val="18"/>
              </w:rPr>
              <w:t>(</w:t>
            </w:r>
            <w:proofErr w:type="spellStart"/>
            <w:r w:rsidRPr="00F4023D">
              <w:rPr>
                <w:rFonts w:cstheme="minorHAnsi"/>
                <w:sz w:val="18"/>
                <w:szCs w:val="18"/>
              </w:rPr>
              <w:t>Magruder</w:t>
            </w:r>
            <w:proofErr w:type="spellEnd"/>
            <w:r w:rsidRPr="00F4023D">
              <w:rPr>
                <w:rFonts w:cstheme="minorHAnsi"/>
                <w:sz w:val="18"/>
                <w:szCs w:val="18"/>
              </w:rPr>
              <w:t xml:space="preserve"> </w:t>
            </w:r>
            <w:proofErr w:type="spellStart"/>
            <w:r w:rsidRPr="00F4023D">
              <w:rPr>
                <w:rFonts w:cstheme="minorHAnsi"/>
                <w:sz w:val="18"/>
                <w:szCs w:val="18"/>
              </w:rPr>
              <w:t>et</w:t>
            </w:r>
            <w:proofErr w:type="spellEnd"/>
            <w:r w:rsidRPr="00F4023D">
              <w:rPr>
                <w:rFonts w:cstheme="minorHAnsi"/>
                <w:sz w:val="18"/>
                <w:szCs w:val="18"/>
              </w:rPr>
              <w:t xml:space="preserve"> al, 2024)</w:t>
            </w:r>
          </w:p>
        </w:tc>
        <w:tc>
          <w:tcPr>
            <w:tcW w:w="1272" w:type="dxa"/>
            <w:vAlign w:val="center"/>
          </w:tcPr>
          <w:p w14:paraId="249DE442" w14:textId="3C4A42D1" w:rsidR="0038613F" w:rsidRPr="00F4023D" w:rsidRDefault="00034C9E" w:rsidP="004C6F29">
            <w:pPr>
              <w:jc w:val="center"/>
              <w:rPr>
                <w:rFonts w:cstheme="minorHAnsi"/>
                <w:sz w:val="18"/>
                <w:szCs w:val="18"/>
              </w:rPr>
            </w:pPr>
            <w:r w:rsidRPr="00F4023D">
              <w:rPr>
                <w:rFonts w:cstheme="minorHAnsi"/>
                <w:sz w:val="18"/>
                <w:szCs w:val="18"/>
              </w:rPr>
              <w:t>Indiana (USA)</w:t>
            </w:r>
          </w:p>
        </w:tc>
      </w:tr>
      <w:tr w:rsidR="009A78A5" w:rsidRPr="00F4023D" w14:paraId="0B36497C" w14:textId="584A8B85" w:rsidTr="004C6F29">
        <w:tc>
          <w:tcPr>
            <w:tcW w:w="709" w:type="dxa"/>
            <w:vAlign w:val="center"/>
          </w:tcPr>
          <w:p w14:paraId="2A68365E" w14:textId="77777777" w:rsidR="0038613F" w:rsidRPr="00F4023D" w:rsidRDefault="0038613F" w:rsidP="004C6F29">
            <w:pPr>
              <w:jc w:val="center"/>
              <w:rPr>
                <w:rFonts w:cstheme="minorHAnsi"/>
                <w:sz w:val="18"/>
                <w:szCs w:val="18"/>
              </w:rPr>
            </w:pPr>
            <w:r w:rsidRPr="00F4023D">
              <w:rPr>
                <w:rFonts w:cstheme="minorHAnsi"/>
                <w:sz w:val="18"/>
                <w:szCs w:val="18"/>
              </w:rPr>
              <w:t>E7</w:t>
            </w:r>
          </w:p>
        </w:tc>
        <w:tc>
          <w:tcPr>
            <w:tcW w:w="6673" w:type="dxa"/>
          </w:tcPr>
          <w:p w14:paraId="7AFA8478" w14:textId="77777777" w:rsidR="0038613F" w:rsidRPr="00F4023D" w:rsidRDefault="0038613F" w:rsidP="004C6F29">
            <w:pPr>
              <w:ind w:left="-104"/>
              <w:rPr>
                <w:rFonts w:cstheme="minorHAnsi"/>
                <w:i/>
                <w:iCs/>
                <w:sz w:val="18"/>
                <w:szCs w:val="18"/>
                <w:lang w:val="en-US"/>
              </w:rPr>
            </w:pPr>
            <w:r w:rsidRPr="00F4023D">
              <w:rPr>
                <w:rFonts w:cstheme="minorHAnsi"/>
                <w:i/>
                <w:iCs/>
                <w:sz w:val="18"/>
                <w:szCs w:val="18"/>
                <w:lang w:val="en-US"/>
              </w:rPr>
              <w:t>“Impact of Operative Time on Adverse Events Following Primary Total Joint Arthroplasty”</w:t>
            </w:r>
          </w:p>
        </w:tc>
        <w:tc>
          <w:tcPr>
            <w:tcW w:w="1411" w:type="dxa"/>
          </w:tcPr>
          <w:p w14:paraId="77B8E501" w14:textId="77777777" w:rsidR="0038613F" w:rsidRPr="00F4023D" w:rsidRDefault="0038613F" w:rsidP="004C6F29">
            <w:pPr>
              <w:jc w:val="center"/>
              <w:rPr>
                <w:rFonts w:cstheme="minorHAnsi"/>
                <w:sz w:val="18"/>
                <w:szCs w:val="18"/>
                <w:lang w:val="en-US"/>
              </w:rPr>
            </w:pPr>
            <w:r w:rsidRPr="00F4023D">
              <w:rPr>
                <w:rFonts w:cstheme="minorHAnsi"/>
                <w:sz w:val="18"/>
                <w:szCs w:val="18"/>
                <w:lang w:val="en-US"/>
              </w:rPr>
              <w:t>(Bohl et al, 2018)</w:t>
            </w:r>
          </w:p>
        </w:tc>
        <w:tc>
          <w:tcPr>
            <w:tcW w:w="1272" w:type="dxa"/>
            <w:vAlign w:val="center"/>
          </w:tcPr>
          <w:p w14:paraId="3ED75B76" w14:textId="7F034475" w:rsidR="0038613F" w:rsidRPr="00F4023D" w:rsidRDefault="00034C9E" w:rsidP="004C6F29">
            <w:pPr>
              <w:jc w:val="center"/>
              <w:rPr>
                <w:rFonts w:cstheme="minorHAnsi"/>
                <w:sz w:val="18"/>
                <w:szCs w:val="18"/>
                <w:lang w:val="en-US"/>
              </w:rPr>
            </w:pPr>
            <w:r w:rsidRPr="00F4023D">
              <w:rPr>
                <w:rFonts w:cstheme="minorHAnsi"/>
                <w:sz w:val="18"/>
                <w:szCs w:val="18"/>
              </w:rPr>
              <w:t>USA</w:t>
            </w:r>
          </w:p>
        </w:tc>
      </w:tr>
      <w:tr w:rsidR="009A78A5" w:rsidRPr="00F4023D" w14:paraId="1CBB49FC" w14:textId="66DC9827" w:rsidTr="004C6F29">
        <w:tc>
          <w:tcPr>
            <w:tcW w:w="709" w:type="dxa"/>
            <w:vAlign w:val="center"/>
          </w:tcPr>
          <w:p w14:paraId="3CADBFBD" w14:textId="77777777" w:rsidR="0038613F" w:rsidRPr="00F4023D" w:rsidRDefault="0038613F" w:rsidP="004C6F29">
            <w:pPr>
              <w:jc w:val="center"/>
              <w:rPr>
                <w:rFonts w:cstheme="minorHAnsi"/>
                <w:sz w:val="18"/>
                <w:szCs w:val="18"/>
              </w:rPr>
            </w:pPr>
            <w:r w:rsidRPr="00F4023D">
              <w:rPr>
                <w:rFonts w:cstheme="minorHAnsi"/>
                <w:sz w:val="18"/>
                <w:szCs w:val="18"/>
              </w:rPr>
              <w:t>E8</w:t>
            </w:r>
          </w:p>
        </w:tc>
        <w:tc>
          <w:tcPr>
            <w:tcW w:w="6673" w:type="dxa"/>
          </w:tcPr>
          <w:p w14:paraId="70A17725" w14:textId="77777777" w:rsidR="0038613F" w:rsidRPr="00F4023D" w:rsidRDefault="0038613F" w:rsidP="004C6F29">
            <w:pPr>
              <w:ind w:left="-104"/>
              <w:rPr>
                <w:rFonts w:cstheme="minorHAnsi"/>
                <w:i/>
                <w:iCs/>
                <w:sz w:val="18"/>
                <w:szCs w:val="18"/>
                <w:lang w:val="en-US"/>
              </w:rPr>
            </w:pPr>
            <w:r w:rsidRPr="00F4023D">
              <w:rPr>
                <w:rFonts w:cstheme="minorHAnsi"/>
                <w:i/>
                <w:iCs/>
                <w:sz w:val="18"/>
                <w:szCs w:val="18"/>
                <w:lang w:val="en-US"/>
              </w:rPr>
              <w:t>“Impact of patient comorbidities on surgical site infection within 90 days of primary and revision joint (hip and knee) replacement”</w:t>
            </w:r>
          </w:p>
        </w:tc>
        <w:tc>
          <w:tcPr>
            <w:tcW w:w="1411" w:type="dxa"/>
          </w:tcPr>
          <w:p w14:paraId="7D64BD33" w14:textId="77777777" w:rsidR="0038613F" w:rsidRPr="00F4023D" w:rsidRDefault="0038613F" w:rsidP="004C6F29">
            <w:pPr>
              <w:jc w:val="center"/>
              <w:rPr>
                <w:rFonts w:cstheme="minorHAnsi"/>
                <w:sz w:val="18"/>
                <w:szCs w:val="18"/>
                <w:lang w:val="en-US"/>
              </w:rPr>
            </w:pPr>
            <w:r w:rsidRPr="00F4023D">
              <w:rPr>
                <w:rFonts w:cstheme="minorHAnsi"/>
                <w:sz w:val="18"/>
                <w:szCs w:val="18"/>
                <w:lang w:val="en-US"/>
              </w:rPr>
              <w:t>(Edmiston Jr. et al, 2019)</w:t>
            </w:r>
          </w:p>
        </w:tc>
        <w:tc>
          <w:tcPr>
            <w:tcW w:w="1272" w:type="dxa"/>
            <w:vAlign w:val="center"/>
          </w:tcPr>
          <w:p w14:paraId="37C60BA7" w14:textId="2409A822" w:rsidR="0038613F" w:rsidRPr="00F4023D" w:rsidRDefault="00034C9E" w:rsidP="004C6F29">
            <w:pPr>
              <w:jc w:val="center"/>
              <w:rPr>
                <w:rFonts w:cstheme="minorHAnsi"/>
                <w:sz w:val="18"/>
                <w:szCs w:val="18"/>
                <w:lang w:val="en-US"/>
              </w:rPr>
            </w:pPr>
            <w:r w:rsidRPr="00F4023D">
              <w:rPr>
                <w:rFonts w:cstheme="minorHAnsi"/>
                <w:sz w:val="18"/>
                <w:szCs w:val="18"/>
              </w:rPr>
              <w:t>USA</w:t>
            </w:r>
          </w:p>
        </w:tc>
      </w:tr>
      <w:tr w:rsidR="009A78A5" w:rsidRPr="00F4023D" w14:paraId="4647411E" w14:textId="43B9C655" w:rsidTr="004C6F29">
        <w:trPr>
          <w:trHeight w:val="474"/>
        </w:trPr>
        <w:tc>
          <w:tcPr>
            <w:tcW w:w="709" w:type="dxa"/>
            <w:vAlign w:val="center"/>
          </w:tcPr>
          <w:p w14:paraId="58121725" w14:textId="77777777" w:rsidR="0038613F" w:rsidRPr="00F4023D" w:rsidRDefault="0038613F" w:rsidP="004C6F29">
            <w:pPr>
              <w:jc w:val="center"/>
              <w:rPr>
                <w:rFonts w:cstheme="minorHAnsi"/>
                <w:sz w:val="18"/>
                <w:szCs w:val="18"/>
              </w:rPr>
            </w:pPr>
            <w:r w:rsidRPr="00F4023D">
              <w:rPr>
                <w:rFonts w:cstheme="minorHAnsi"/>
                <w:sz w:val="18"/>
                <w:szCs w:val="18"/>
              </w:rPr>
              <w:t>E9</w:t>
            </w:r>
          </w:p>
        </w:tc>
        <w:tc>
          <w:tcPr>
            <w:tcW w:w="6673" w:type="dxa"/>
          </w:tcPr>
          <w:p w14:paraId="490ED509" w14:textId="77777777" w:rsidR="0038613F" w:rsidRPr="00F4023D" w:rsidRDefault="0038613F" w:rsidP="004C6F29">
            <w:pPr>
              <w:ind w:left="-104"/>
              <w:rPr>
                <w:rFonts w:cstheme="minorHAnsi"/>
                <w:i/>
                <w:iCs/>
                <w:sz w:val="18"/>
                <w:szCs w:val="18"/>
                <w:lang w:val="en-US"/>
              </w:rPr>
            </w:pPr>
            <w:r w:rsidRPr="00F4023D">
              <w:rPr>
                <w:rFonts w:cstheme="minorHAnsi"/>
                <w:i/>
                <w:iCs/>
                <w:sz w:val="18"/>
                <w:szCs w:val="18"/>
                <w:lang w:val="en-US"/>
              </w:rPr>
              <w:t>“Impact of Perioperative Urinary Tract Infection on Surgical Site Infection in Patients Undergoing Primary Hip and Knee Arthroplasty”</w:t>
            </w:r>
          </w:p>
        </w:tc>
        <w:tc>
          <w:tcPr>
            <w:tcW w:w="1411" w:type="dxa"/>
          </w:tcPr>
          <w:p w14:paraId="590F9801" w14:textId="77777777" w:rsidR="0038613F" w:rsidRPr="00F4023D" w:rsidRDefault="0038613F" w:rsidP="004C6F29">
            <w:pPr>
              <w:jc w:val="center"/>
              <w:rPr>
                <w:rFonts w:cstheme="minorHAnsi"/>
                <w:sz w:val="18"/>
                <w:szCs w:val="18"/>
                <w:lang w:val="en-US"/>
              </w:rPr>
            </w:pPr>
            <w:r w:rsidRPr="00F4023D">
              <w:rPr>
                <w:rFonts w:cstheme="minorHAnsi"/>
                <w:sz w:val="18"/>
                <w:szCs w:val="18"/>
                <w:lang w:val="en-US"/>
              </w:rPr>
              <w:t>(Schmitt et al, 2020)</w:t>
            </w:r>
          </w:p>
        </w:tc>
        <w:tc>
          <w:tcPr>
            <w:tcW w:w="1272" w:type="dxa"/>
            <w:vAlign w:val="center"/>
          </w:tcPr>
          <w:p w14:paraId="48FA7B5A" w14:textId="4E09C2D5" w:rsidR="0038613F" w:rsidRPr="00F4023D" w:rsidRDefault="00034C9E" w:rsidP="004C6F29">
            <w:pPr>
              <w:jc w:val="center"/>
              <w:rPr>
                <w:rFonts w:cstheme="minorHAnsi"/>
                <w:sz w:val="18"/>
                <w:szCs w:val="18"/>
                <w:lang w:val="en-US"/>
              </w:rPr>
            </w:pPr>
            <w:r w:rsidRPr="00F4023D">
              <w:rPr>
                <w:rFonts w:cstheme="minorHAnsi"/>
                <w:sz w:val="18"/>
                <w:szCs w:val="18"/>
              </w:rPr>
              <w:t>USA</w:t>
            </w:r>
          </w:p>
        </w:tc>
      </w:tr>
      <w:tr w:rsidR="009A78A5" w:rsidRPr="00F4023D" w14:paraId="3D5A3A10" w14:textId="4C5B08AE" w:rsidTr="004C6F29">
        <w:tc>
          <w:tcPr>
            <w:tcW w:w="709" w:type="dxa"/>
            <w:vAlign w:val="center"/>
          </w:tcPr>
          <w:p w14:paraId="369A052C" w14:textId="77777777" w:rsidR="0038613F" w:rsidRPr="00F4023D" w:rsidRDefault="0038613F" w:rsidP="004C6F29">
            <w:pPr>
              <w:jc w:val="center"/>
              <w:rPr>
                <w:rFonts w:cstheme="minorHAnsi"/>
                <w:sz w:val="18"/>
                <w:szCs w:val="18"/>
              </w:rPr>
            </w:pPr>
            <w:r w:rsidRPr="00F4023D">
              <w:rPr>
                <w:rFonts w:cstheme="minorHAnsi"/>
                <w:sz w:val="18"/>
                <w:szCs w:val="18"/>
              </w:rPr>
              <w:t>E10</w:t>
            </w:r>
          </w:p>
        </w:tc>
        <w:tc>
          <w:tcPr>
            <w:tcW w:w="6673" w:type="dxa"/>
          </w:tcPr>
          <w:p w14:paraId="4DC54AB1" w14:textId="77777777" w:rsidR="0038613F" w:rsidRPr="00F4023D" w:rsidRDefault="0038613F" w:rsidP="004C6F29">
            <w:pPr>
              <w:ind w:left="-104"/>
              <w:rPr>
                <w:rFonts w:cstheme="minorHAnsi"/>
                <w:i/>
                <w:iCs/>
                <w:sz w:val="18"/>
                <w:szCs w:val="18"/>
                <w:lang w:val="en-US"/>
              </w:rPr>
            </w:pPr>
            <w:r w:rsidRPr="00F4023D">
              <w:rPr>
                <w:rFonts w:cstheme="minorHAnsi"/>
                <w:i/>
                <w:iCs/>
                <w:sz w:val="18"/>
                <w:szCs w:val="18"/>
                <w:lang w:val="en-US"/>
              </w:rPr>
              <w:t>“Incidence and Risk Factors of 30-Day Surgical Site Infection after Primary Total Joint Arthroplasty in a Middle-Income Country: A Single-Center Experience”</w:t>
            </w:r>
          </w:p>
        </w:tc>
        <w:tc>
          <w:tcPr>
            <w:tcW w:w="1411" w:type="dxa"/>
          </w:tcPr>
          <w:p w14:paraId="24CF3CBF" w14:textId="77777777" w:rsidR="0038613F" w:rsidRPr="00F4023D" w:rsidRDefault="0038613F" w:rsidP="004C6F29">
            <w:pPr>
              <w:jc w:val="center"/>
              <w:rPr>
                <w:rFonts w:cstheme="minorHAnsi"/>
                <w:sz w:val="18"/>
                <w:szCs w:val="18"/>
                <w:lang w:val="en-US"/>
              </w:rPr>
            </w:pPr>
            <w:r w:rsidRPr="00F4023D">
              <w:rPr>
                <w:rFonts w:cstheme="minorHAnsi"/>
                <w:sz w:val="18"/>
                <w:szCs w:val="18"/>
                <w:lang w:val="en-US"/>
              </w:rPr>
              <w:t>(Marusic et al, 2021)</w:t>
            </w:r>
          </w:p>
        </w:tc>
        <w:tc>
          <w:tcPr>
            <w:tcW w:w="1272" w:type="dxa"/>
            <w:vAlign w:val="center"/>
          </w:tcPr>
          <w:p w14:paraId="5B68E502" w14:textId="6D32CFD0" w:rsidR="0038613F" w:rsidRPr="00F4023D" w:rsidRDefault="00034C9E" w:rsidP="004C6F29">
            <w:pPr>
              <w:jc w:val="center"/>
              <w:rPr>
                <w:rFonts w:cstheme="minorHAnsi"/>
                <w:sz w:val="18"/>
                <w:szCs w:val="18"/>
                <w:lang w:val="en-US"/>
              </w:rPr>
            </w:pPr>
            <w:r w:rsidRPr="00F4023D">
              <w:rPr>
                <w:rFonts w:cstheme="minorHAnsi"/>
                <w:sz w:val="18"/>
                <w:szCs w:val="18"/>
                <w:lang w:val="en-US"/>
              </w:rPr>
              <w:t>Serbia</w:t>
            </w:r>
          </w:p>
        </w:tc>
      </w:tr>
      <w:tr w:rsidR="009A78A5" w:rsidRPr="00F4023D" w14:paraId="6183CF11" w14:textId="622669D9" w:rsidTr="004C6F29">
        <w:tc>
          <w:tcPr>
            <w:tcW w:w="709" w:type="dxa"/>
            <w:vAlign w:val="center"/>
          </w:tcPr>
          <w:p w14:paraId="49724703" w14:textId="77777777" w:rsidR="0038613F" w:rsidRPr="00F4023D" w:rsidRDefault="0038613F" w:rsidP="004C6F29">
            <w:pPr>
              <w:jc w:val="center"/>
              <w:rPr>
                <w:rFonts w:cstheme="minorHAnsi"/>
                <w:sz w:val="18"/>
                <w:szCs w:val="18"/>
              </w:rPr>
            </w:pPr>
            <w:r w:rsidRPr="00F4023D">
              <w:rPr>
                <w:rFonts w:cstheme="minorHAnsi"/>
                <w:sz w:val="18"/>
                <w:szCs w:val="18"/>
              </w:rPr>
              <w:t>E11</w:t>
            </w:r>
          </w:p>
        </w:tc>
        <w:tc>
          <w:tcPr>
            <w:tcW w:w="6673" w:type="dxa"/>
          </w:tcPr>
          <w:p w14:paraId="401B17B4" w14:textId="77777777" w:rsidR="0038613F" w:rsidRPr="00F4023D" w:rsidRDefault="0038613F" w:rsidP="004C6F29">
            <w:pPr>
              <w:ind w:left="-104"/>
              <w:rPr>
                <w:rFonts w:cstheme="minorHAnsi"/>
                <w:i/>
                <w:iCs/>
                <w:sz w:val="18"/>
                <w:szCs w:val="18"/>
                <w:lang w:val="en-US"/>
              </w:rPr>
            </w:pPr>
            <w:r w:rsidRPr="00F4023D">
              <w:rPr>
                <w:rFonts w:cstheme="minorHAnsi"/>
                <w:i/>
                <w:iCs/>
                <w:sz w:val="18"/>
                <w:szCs w:val="18"/>
                <w:lang w:val="en-US"/>
              </w:rPr>
              <w:t>“Incidence and risk factors of surgical site infection after total knee arthroplasty: Results of a retrospective cohort study”</w:t>
            </w:r>
          </w:p>
        </w:tc>
        <w:tc>
          <w:tcPr>
            <w:tcW w:w="1411" w:type="dxa"/>
          </w:tcPr>
          <w:p w14:paraId="6A693785" w14:textId="77777777" w:rsidR="0038613F" w:rsidRPr="00F4023D" w:rsidRDefault="0038613F" w:rsidP="004C6F29">
            <w:pPr>
              <w:jc w:val="center"/>
              <w:rPr>
                <w:rFonts w:cstheme="minorHAnsi"/>
                <w:sz w:val="18"/>
                <w:szCs w:val="18"/>
                <w:lang w:val="en-US"/>
              </w:rPr>
            </w:pPr>
            <w:r w:rsidRPr="00F4023D">
              <w:rPr>
                <w:rFonts w:cstheme="minorHAnsi"/>
                <w:sz w:val="18"/>
                <w:szCs w:val="18"/>
                <w:lang w:val="en-US"/>
              </w:rPr>
              <w:t>(Baier et al, 2019)</w:t>
            </w:r>
          </w:p>
        </w:tc>
        <w:tc>
          <w:tcPr>
            <w:tcW w:w="1272" w:type="dxa"/>
            <w:vAlign w:val="center"/>
          </w:tcPr>
          <w:p w14:paraId="76B787CA" w14:textId="49B2AC39" w:rsidR="0038613F" w:rsidRPr="00F4023D" w:rsidRDefault="00034C9E" w:rsidP="004C6F29">
            <w:pPr>
              <w:jc w:val="center"/>
              <w:rPr>
                <w:rFonts w:cstheme="minorHAnsi"/>
                <w:sz w:val="18"/>
                <w:szCs w:val="18"/>
                <w:lang w:val="en-US"/>
              </w:rPr>
            </w:pPr>
            <w:r w:rsidRPr="00F4023D">
              <w:rPr>
                <w:rFonts w:cstheme="minorHAnsi"/>
                <w:sz w:val="18"/>
                <w:szCs w:val="18"/>
                <w:lang w:val="en-US"/>
              </w:rPr>
              <w:t>Germany</w:t>
            </w:r>
          </w:p>
        </w:tc>
      </w:tr>
      <w:tr w:rsidR="009A78A5" w:rsidRPr="00F4023D" w14:paraId="17517E07" w14:textId="79E1480A" w:rsidTr="004C6F29">
        <w:tc>
          <w:tcPr>
            <w:tcW w:w="709" w:type="dxa"/>
            <w:vAlign w:val="center"/>
          </w:tcPr>
          <w:p w14:paraId="18ABB2A5" w14:textId="77777777" w:rsidR="0038613F" w:rsidRPr="00F4023D" w:rsidRDefault="0038613F" w:rsidP="004C6F29">
            <w:pPr>
              <w:jc w:val="center"/>
              <w:rPr>
                <w:rFonts w:cstheme="minorHAnsi"/>
                <w:sz w:val="18"/>
                <w:szCs w:val="18"/>
              </w:rPr>
            </w:pPr>
            <w:r w:rsidRPr="00F4023D">
              <w:rPr>
                <w:rFonts w:cstheme="minorHAnsi"/>
                <w:sz w:val="18"/>
                <w:szCs w:val="18"/>
              </w:rPr>
              <w:t>E12</w:t>
            </w:r>
          </w:p>
        </w:tc>
        <w:tc>
          <w:tcPr>
            <w:tcW w:w="6673" w:type="dxa"/>
          </w:tcPr>
          <w:p w14:paraId="0DF113E6" w14:textId="77777777" w:rsidR="0038613F" w:rsidRPr="00F4023D" w:rsidRDefault="0038613F" w:rsidP="004C6F29">
            <w:pPr>
              <w:ind w:left="-104"/>
              <w:rPr>
                <w:rFonts w:cstheme="minorHAnsi"/>
                <w:i/>
                <w:iCs/>
                <w:sz w:val="18"/>
                <w:szCs w:val="18"/>
                <w:lang w:val="en-US"/>
              </w:rPr>
            </w:pPr>
            <w:r w:rsidRPr="00F4023D">
              <w:rPr>
                <w:rFonts w:cstheme="minorHAnsi"/>
                <w:i/>
                <w:iCs/>
                <w:sz w:val="18"/>
                <w:szCs w:val="18"/>
                <w:lang w:val="en-US"/>
              </w:rPr>
              <w:t>“Intraoperative bacterial contamination in total hip and knee arthroplasty is associated with operative duration and peeling of the iodine-containing drape from skin”</w:t>
            </w:r>
          </w:p>
        </w:tc>
        <w:tc>
          <w:tcPr>
            <w:tcW w:w="1411" w:type="dxa"/>
          </w:tcPr>
          <w:p w14:paraId="74951B9E" w14:textId="77777777" w:rsidR="0038613F" w:rsidRPr="00F4023D" w:rsidRDefault="0038613F" w:rsidP="004C6F29">
            <w:pPr>
              <w:jc w:val="center"/>
              <w:rPr>
                <w:rFonts w:cstheme="minorHAnsi"/>
                <w:sz w:val="18"/>
                <w:szCs w:val="18"/>
                <w:lang w:val="en-US"/>
              </w:rPr>
            </w:pPr>
            <w:r w:rsidRPr="00F4023D">
              <w:rPr>
                <w:rFonts w:cstheme="minorHAnsi"/>
                <w:sz w:val="18"/>
                <w:szCs w:val="18"/>
                <w:lang w:val="en-US"/>
              </w:rPr>
              <w:t>(Hanada et al, 2020)</w:t>
            </w:r>
          </w:p>
        </w:tc>
        <w:tc>
          <w:tcPr>
            <w:tcW w:w="1272" w:type="dxa"/>
            <w:vAlign w:val="center"/>
          </w:tcPr>
          <w:p w14:paraId="5295AAFB" w14:textId="3D6B9860" w:rsidR="0038613F" w:rsidRPr="00F4023D" w:rsidRDefault="00034C9E" w:rsidP="004C6F29">
            <w:pPr>
              <w:jc w:val="center"/>
              <w:rPr>
                <w:rFonts w:cstheme="minorHAnsi"/>
                <w:sz w:val="18"/>
                <w:szCs w:val="18"/>
                <w:lang w:val="en-US"/>
              </w:rPr>
            </w:pPr>
            <w:r w:rsidRPr="00F4023D">
              <w:rPr>
                <w:rFonts w:cstheme="minorHAnsi"/>
                <w:sz w:val="18"/>
                <w:szCs w:val="18"/>
                <w:lang w:val="en-US"/>
              </w:rPr>
              <w:t>Japan</w:t>
            </w:r>
          </w:p>
        </w:tc>
      </w:tr>
      <w:tr w:rsidR="009A78A5" w:rsidRPr="00F4023D" w14:paraId="47C59AEA" w14:textId="52CD490E" w:rsidTr="004C6F29">
        <w:tc>
          <w:tcPr>
            <w:tcW w:w="709" w:type="dxa"/>
            <w:vAlign w:val="center"/>
          </w:tcPr>
          <w:p w14:paraId="2C5C8F50" w14:textId="77777777" w:rsidR="00A775A5" w:rsidRPr="00F4023D" w:rsidRDefault="00A775A5" w:rsidP="004C6F29">
            <w:pPr>
              <w:jc w:val="center"/>
              <w:rPr>
                <w:rFonts w:cstheme="minorHAnsi"/>
                <w:sz w:val="18"/>
                <w:szCs w:val="18"/>
              </w:rPr>
            </w:pPr>
            <w:r w:rsidRPr="00F4023D">
              <w:rPr>
                <w:rFonts w:cstheme="minorHAnsi"/>
                <w:sz w:val="18"/>
                <w:szCs w:val="18"/>
              </w:rPr>
              <w:t>E13</w:t>
            </w:r>
          </w:p>
        </w:tc>
        <w:tc>
          <w:tcPr>
            <w:tcW w:w="6673" w:type="dxa"/>
          </w:tcPr>
          <w:p w14:paraId="75F2AF73" w14:textId="77777777" w:rsidR="00A775A5" w:rsidRPr="00F4023D" w:rsidRDefault="00A775A5" w:rsidP="004C6F29">
            <w:pPr>
              <w:ind w:left="-104"/>
              <w:rPr>
                <w:rFonts w:cstheme="minorHAnsi"/>
                <w:i/>
                <w:iCs/>
                <w:sz w:val="18"/>
                <w:szCs w:val="18"/>
                <w:lang w:val="en-US"/>
              </w:rPr>
            </w:pPr>
            <w:r w:rsidRPr="00F4023D">
              <w:rPr>
                <w:rFonts w:cstheme="minorHAnsi"/>
                <w:i/>
                <w:iCs/>
                <w:sz w:val="18"/>
                <w:szCs w:val="18"/>
                <w:lang w:val="en-US"/>
              </w:rPr>
              <w:t>“Is Operative Time a Predictor for Post-Operative Infection in Primary Total Knee Arthroplasty?”</w:t>
            </w:r>
          </w:p>
        </w:tc>
        <w:tc>
          <w:tcPr>
            <w:tcW w:w="1411" w:type="dxa"/>
          </w:tcPr>
          <w:p w14:paraId="7A41C23D" w14:textId="77777777" w:rsidR="00A775A5" w:rsidRPr="00F4023D" w:rsidRDefault="00A775A5" w:rsidP="004C6F29">
            <w:pPr>
              <w:jc w:val="center"/>
              <w:rPr>
                <w:rFonts w:cstheme="minorHAnsi"/>
                <w:sz w:val="18"/>
                <w:szCs w:val="18"/>
              </w:rPr>
            </w:pPr>
            <w:r w:rsidRPr="00F4023D">
              <w:rPr>
                <w:rFonts w:cstheme="minorHAnsi"/>
                <w:sz w:val="18"/>
                <w:szCs w:val="18"/>
              </w:rPr>
              <w:t xml:space="preserve">(Anis </w:t>
            </w:r>
            <w:proofErr w:type="spellStart"/>
            <w:r w:rsidRPr="00F4023D">
              <w:rPr>
                <w:rFonts w:cstheme="minorHAnsi"/>
                <w:sz w:val="18"/>
                <w:szCs w:val="18"/>
              </w:rPr>
              <w:t>et</w:t>
            </w:r>
            <w:proofErr w:type="spellEnd"/>
            <w:r w:rsidRPr="00F4023D">
              <w:rPr>
                <w:rFonts w:cstheme="minorHAnsi"/>
                <w:sz w:val="18"/>
                <w:szCs w:val="18"/>
              </w:rPr>
              <w:t xml:space="preserve"> al, 2019)</w:t>
            </w:r>
          </w:p>
        </w:tc>
        <w:tc>
          <w:tcPr>
            <w:tcW w:w="1272" w:type="dxa"/>
            <w:vAlign w:val="center"/>
          </w:tcPr>
          <w:p w14:paraId="2878912D" w14:textId="3AED48AC" w:rsidR="00A775A5" w:rsidRPr="00F4023D" w:rsidRDefault="00D44612" w:rsidP="004C6F29">
            <w:pPr>
              <w:jc w:val="center"/>
              <w:rPr>
                <w:rFonts w:cstheme="minorHAnsi"/>
                <w:sz w:val="18"/>
                <w:szCs w:val="18"/>
              </w:rPr>
            </w:pPr>
            <w:r w:rsidRPr="00F4023D">
              <w:rPr>
                <w:rFonts w:cstheme="minorHAnsi"/>
                <w:sz w:val="18"/>
                <w:szCs w:val="18"/>
              </w:rPr>
              <w:t>USA</w:t>
            </w:r>
          </w:p>
        </w:tc>
      </w:tr>
      <w:tr w:rsidR="009A78A5" w:rsidRPr="00F4023D" w14:paraId="3FE7B7DB" w14:textId="34664530" w:rsidTr="004C6F29">
        <w:tc>
          <w:tcPr>
            <w:tcW w:w="709" w:type="dxa"/>
            <w:vAlign w:val="center"/>
          </w:tcPr>
          <w:p w14:paraId="02D4ED7C" w14:textId="77777777" w:rsidR="00A775A5" w:rsidRPr="00F4023D" w:rsidRDefault="00A775A5" w:rsidP="004C6F29">
            <w:pPr>
              <w:jc w:val="center"/>
              <w:rPr>
                <w:rFonts w:cstheme="minorHAnsi"/>
                <w:sz w:val="18"/>
                <w:szCs w:val="18"/>
              </w:rPr>
            </w:pPr>
            <w:r w:rsidRPr="00F4023D">
              <w:rPr>
                <w:rFonts w:cstheme="minorHAnsi"/>
                <w:sz w:val="18"/>
                <w:szCs w:val="18"/>
              </w:rPr>
              <w:t>E14</w:t>
            </w:r>
          </w:p>
        </w:tc>
        <w:tc>
          <w:tcPr>
            <w:tcW w:w="6673" w:type="dxa"/>
          </w:tcPr>
          <w:p w14:paraId="3DA765CB" w14:textId="77777777" w:rsidR="00A775A5" w:rsidRPr="00F4023D" w:rsidRDefault="00A775A5" w:rsidP="004C6F29">
            <w:pPr>
              <w:ind w:left="-104"/>
              <w:rPr>
                <w:rFonts w:cstheme="minorHAnsi"/>
                <w:i/>
                <w:iCs/>
                <w:sz w:val="18"/>
                <w:szCs w:val="18"/>
                <w:lang w:val="en-US"/>
              </w:rPr>
            </w:pPr>
            <w:r w:rsidRPr="00F4023D">
              <w:rPr>
                <w:rFonts w:cstheme="minorHAnsi"/>
                <w:i/>
                <w:iCs/>
                <w:sz w:val="18"/>
                <w:szCs w:val="18"/>
                <w:lang w:val="en-US"/>
              </w:rPr>
              <w:t>“Longer Operative Time Results in a Higher Rate of Subsequent Periprosthetic Joint Infection in Patients Undergoing Primary Joint Arthroplasty”</w:t>
            </w:r>
          </w:p>
        </w:tc>
        <w:tc>
          <w:tcPr>
            <w:tcW w:w="1411" w:type="dxa"/>
          </w:tcPr>
          <w:p w14:paraId="59F8FBFB" w14:textId="77777777" w:rsidR="00A775A5" w:rsidRPr="00F4023D" w:rsidRDefault="00A775A5" w:rsidP="004C6F29">
            <w:pPr>
              <w:jc w:val="center"/>
              <w:rPr>
                <w:rFonts w:cstheme="minorHAnsi"/>
                <w:sz w:val="18"/>
                <w:szCs w:val="18"/>
                <w:lang w:val="en-US"/>
              </w:rPr>
            </w:pPr>
            <w:r w:rsidRPr="00F4023D">
              <w:rPr>
                <w:rFonts w:cstheme="minorHAnsi"/>
                <w:sz w:val="18"/>
                <w:szCs w:val="18"/>
                <w:lang w:val="en-US"/>
              </w:rPr>
              <w:t>(Wang et al, 2019)</w:t>
            </w:r>
          </w:p>
        </w:tc>
        <w:tc>
          <w:tcPr>
            <w:tcW w:w="1272" w:type="dxa"/>
            <w:vAlign w:val="center"/>
          </w:tcPr>
          <w:p w14:paraId="5279141C" w14:textId="286C9595" w:rsidR="00A775A5" w:rsidRPr="00F4023D" w:rsidRDefault="00D44612" w:rsidP="004C6F29">
            <w:pPr>
              <w:jc w:val="center"/>
              <w:rPr>
                <w:rFonts w:cstheme="minorHAnsi"/>
                <w:sz w:val="18"/>
                <w:szCs w:val="18"/>
                <w:lang w:val="en-US"/>
              </w:rPr>
            </w:pPr>
            <w:r w:rsidRPr="00F4023D">
              <w:rPr>
                <w:rFonts w:cstheme="minorHAnsi"/>
                <w:sz w:val="18"/>
                <w:szCs w:val="18"/>
              </w:rPr>
              <w:t>USA</w:t>
            </w:r>
          </w:p>
        </w:tc>
      </w:tr>
      <w:tr w:rsidR="009A78A5" w:rsidRPr="00F4023D" w14:paraId="7D877D6A" w14:textId="0A054F91" w:rsidTr="004C6F29">
        <w:tc>
          <w:tcPr>
            <w:tcW w:w="709" w:type="dxa"/>
            <w:vAlign w:val="center"/>
          </w:tcPr>
          <w:p w14:paraId="37852713" w14:textId="77777777" w:rsidR="00A775A5" w:rsidRPr="00F4023D" w:rsidRDefault="00A775A5" w:rsidP="004C6F29">
            <w:pPr>
              <w:jc w:val="center"/>
              <w:rPr>
                <w:rFonts w:cstheme="minorHAnsi"/>
                <w:sz w:val="18"/>
                <w:szCs w:val="18"/>
              </w:rPr>
            </w:pPr>
            <w:r w:rsidRPr="00F4023D">
              <w:rPr>
                <w:rFonts w:cstheme="minorHAnsi"/>
                <w:sz w:val="18"/>
                <w:szCs w:val="18"/>
              </w:rPr>
              <w:t>E15</w:t>
            </w:r>
          </w:p>
        </w:tc>
        <w:tc>
          <w:tcPr>
            <w:tcW w:w="6673" w:type="dxa"/>
          </w:tcPr>
          <w:p w14:paraId="0A38C791" w14:textId="77777777" w:rsidR="00A775A5" w:rsidRPr="00F4023D" w:rsidRDefault="00A775A5" w:rsidP="004C6F29">
            <w:pPr>
              <w:ind w:left="-104"/>
              <w:rPr>
                <w:rFonts w:cstheme="minorHAnsi"/>
                <w:i/>
                <w:iCs/>
                <w:sz w:val="18"/>
                <w:szCs w:val="18"/>
                <w:lang w:val="en-US"/>
              </w:rPr>
            </w:pPr>
            <w:r w:rsidRPr="00F4023D">
              <w:rPr>
                <w:rFonts w:cstheme="minorHAnsi"/>
                <w:i/>
                <w:iCs/>
                <w:sz w:val="18"/>
                <w:szCs w:val="18"/>
                <w:lang w:val="en-US"/>
              </w:rPr>
              <w:t>“Non-compliance with clinical guidelines increases the risk of complications after primary total hip and knee joint replacement surgery”</w:t>
            </w:r>
          </w:p>
        </w:tc>
        <w:tc>
          <w:tcPr>
            <w:tcW w:w="1411" w:type="dxa"/>
          </w:tcPr>
          <w:p w14:paraId="3F4CB9FA" w14:textId="77777777" w:rsidR="00A775A5" w:rsidRPr="00F4023D" w:rsidRDefault="00A775A5" w:rsidP="004C6F29">
            <w:pPr>
              <w:jc w:val="center"/>
              <w:rPr>
                <w:rFonts w:cstheme="minorHAnsi"/>
                <w:sz w:val="18"/>
                <w:szCs w:val="18"/>
                <w:lang w:val="en-US"/>
              </w:rPr>
            </w:pPr>
            <w:r w:rsidRPr="00F4023D">
              <w:rPr>
                <w:rFonts w:cstheme="minorHAnsi"/>
                <w:sz w:val="18"/>
                <w:szCs w:val="18"/>
                <w:lang w:val="en-US"/>
              </w:rPr>
              <w:t>(Badge et al, 2021)</w:t>
            </w:r>
          </w:p>
        </w:tc>
        <w:tc>
          <w:tcPr>
            <w:tcW w:w="1272" w:type="dxa"/>
            <w:vAlign w:val="center"/>
          </w:tcPr>
          <w:p w14:paraId="08CA158B" w14:textId="33EB279B" w:rsidR="00A775A5" w:rsidRPr="00F4023D" w:rsidRDefault="00D44612" w:rsidP="004C6F29">
            <w:pPr>
              <w:jc w:val="center"/>
              <w:rPr>
                <w:rFonts w:cstheme="minorHAnsi"/>
                <w:sz w:val="18"/>
                <w:szCs w:val="18"/>
                <w:lang w:val="en-US"/>
              </w:rPr>
            </w:pPr>
            <w:r w:rsidRPr="00F4023D">
              <w:rPr>
                <w:rFonts w:cstheme="minorHAnsi"/>
                <w:sz w:val="18"/>
                <w:szCs w:val="18"/>
                <w:lang w:val="en-US"/>
              </w:rPr>
              <w:t>Australia</w:t>
            </w:r>
          </w:p>
        </w:tc>
      </w:tr>
      <w:tr w:rsidR="009A78A5" w:rsidRPr="00F4023D" w14:paraId="2B42E215" w14:textId="4BA91AE3" w:rsidTr="004C6F29">
        <w:tc>
          <w:tcPr>
            <w:tcW w:w="709" w:type="dxa"/>
            <w:vAlign w:val="center"/>
          </w:tcPr>
          <w:p w14:paraId="51E3444B" w14:textId="77777777" w:rsidR="00A775A5" w:rsidRPr="00F4023D" w:rsidRDefault="00A775A5" w:rsidP="004C6F29">
            <w:pPr>
              <w:jc w:val="center"/>
              <w:rPr>
                <w:rFonts w:cstheme="minorHAnsi"/>
                <w:sz w:val="18"/>
                <w:szCs w:val="18"/>
              </w:rPr>
            </w:pPr>
            <w:r w:rsidRPr="00F4023D">
              <w:rPr>
                <w:rFonts w:cstheme="minorHAnsi"/>
                <w:sz w:val="18"/>
                <w:szCs w:val="18"/>
              </w:rPr>
              <w:t>E16</w:t>
            </w:r>
          </w:p>
        </w:tc>
        <w:tc>
          <w:tcPr>
            <w:tcW w:w="6673" w:type="dxa"/>
          </w:tcPr>
          <w:p w14:paraId="16BFC398" w14:textId="77777777" w:rsidR="00A775A5" w:rsidRPr="00F4023D" w:rsidRDefault="00A775A5" w:rsidP="004C6F29">
            <w:pPr>
              <w:ind w:left="-104"/>
              <w:rPr>
                <w:rFonts w:cstheme="minorHAnsi"/>
                <w:i/>
                <w:iCs/>
                <w:sz w:val="18"/>
                <w:szCs w:val="18"/>
                <w:lang w:val="en-US"/>
              </w:rPr>
            </w:pPr>
            <w:r w:rsidRPr="00F4023D">
              <w:rPr>
                <w:rFonts w:cstheme="minorHAnsi"/>
                <w:i/>
                <w:iCs/>
                <w:sz w:val="18"/>
                <w:szCs w:val="18"/>
                <w:lang w:val="en-US"/>
              </w:rPr>
              <w:t>“Patients with musculoskeletal dysplasia undergoing total joint arthroplasty are at increased risk of surgical site Infection”</w:t>
            </w:r>
          </w:p>
        </w:tc>
        <w:tc>
          <w:tcPr>
            <w:tcW w:w="1411" w:type="dxa"/>
          </w:tcPr>
          <w:p w14:paraId="55BF6998" w14:textId="77777777" w:rsidR="00A775A5" w:rsidRPr="00F4023D" w:rsidRDefault="00A775A5" w:rsidP="004C6F29">
            <w:pPr>
              <w:jc w:val="center"/>
              <w:rPr>
                <w:rFonts w:cstheme="minorHAnsi"/>
                <w:sz w:val="18"/>
                <w:szCs w:val="18"/>
                <w:lang w:val="en-US"/>
              </w:rPr>
            </w:pPr>
            <w:r w:rsidRPr="00F4023D">
              <w:rPr>
                <w:rFonts w:cstheme="minorHAnsi"/>
                <w:sz w:val="18"/>
                <w:szCs w:val="18"/>
                <w:lang w:val="en-US"/>
              </w:rPr>
              <w:t>(Patel et al, 2019)</w:t>
            </w:r>
          </w:p>
        </w:tc>
        <w:tc>
          <w:tcPr>
            <w:tcW w:w="1272" w:type="dxa"/>
            <w:vAlign w:val="center"/>
          </w:tcPr>
          <w:p w14:paraId="31794271" w14:textId="3EDF2683" w:rsidR="00A775A5" w:rsidRPr="00F4023D" w:rsidRDefault="00D44612" w:rsidP="004C6F29">
            <w:pPr>
              <w:jc w:val="center"/>
              <w:rPr>
                <w:rFonts w:cstheme="minorHAnsi"/>
                <w:sz w:val="18"/>
                <w:szCs w:val="18"/>
                <w:lang w:val="en-US"/>
              </w:rPr>
            </w:pPr>
            <w:r w:rsidRPr="00F4023D">
              <w:rPr>
                <w:rFonts w:cstheme="minorHAnsi"/>
                <w:sz w:val="18"/>
                <w:szCs w:val="18"/>
              </w:rPr>
              <w:t>USA</w:t>
            </w:r>
          </w:p>
        </w:tc>
      </w:tr>
      <w:tr w:rsidR="009A78A5" w:rsidRPr="00F4023D" w14:paraId="2FE2ADF3" w14:textId="13F6C9F0" w:rsidTr="004C6F29">
        <w:tc>
          <w:tcPr>
            <w:tcW w:w="709" w:type="dxa"/>
            <w:vAlign w:val="center"/>
          </w:tcPr>
          <w:p w14:paraId="3FE80EC1" w14:textId="77777777" w:rsidR="00A775A5" w:rsidRPr="00F4023D" w:rsidRDefault="00A775A5" w:rsidP="004C6F29">
            <w:pPr>
              <w:jc w:val="center"/>
              <w:rPr>
                <w:rFonts w:cstheme="minorHAnsi"/>
                <w:sz w:val="18"/>
                <w:szCs w:val="18"/>
              </w:rPr>
            </w:pPr>
            <w:r w:rsidRPr="00F4023D">
              <w:rPr>
                <w:rFonts w:cstheme="minorHAnsi"/>
                <w:sz w:val="18"/>
                <w:szCs w:val="18"/>
              </w:rPr>
              <w:t>E17</w:t>
            </w:r>
          </w:p>
        </w:tc>
        <w:tc>
          <w:tcPr>
            <w:tcW w:w="6673" w:type="dxa"/>
          </w:tcPr>
          <w:p w14:paraId="448AD4C2" w14:textId="77777777" w:rsidR="00A775A5" w:rsidRPr="00F4023D" w:rsidRDefault="00A775A5" w:rsidP="004C6F29">
            <w:pPr>
              <w:ind w:left="-104"/>
              <w:rPr>
                <w:rFonts w:cstheme="minorHAnsi"/>
                <w:i/>
                <w:iCs/>
                <w:sz w:val="18"/>
                <w:szCs w:val="18"/>
                <w:lang w:val="en-US"/>
              </w:rPr>
            </w:pPr>
            <w:r w:rsidRPr="00F4023D">
              <w:rPr>
                <w:rFonts w:cstheme="minorHAnsi"/>
                <w:i/>
                <w:iCs/>
                <w:sz w:val="18"/>
                <w:szCs w:val="18"/>
                <w:lang w:val="en-US"/>
              </w:rPr>
              <w:t>“Perioperative Allogeneic Red Blood-Cell Transfusion Associated with Surgical Site Infection After Total Hip and Knee Arthroplasty”</w:t>
            </w:r>
          </w:p>
        </w:tc>
        <w:tc>
          <w:tcPr>
            <w:tcW w:w="1411" w:type="dxa"/>
          </w:tcPr>
          <w:p w14:paraId="1D10FDBB" w14:textId="77777777" w:rsidR="00A775A5" w:rsidRPr="00F4023D" w:rsidRDefault="00A775A5" w:rsidP="004C6F29">
            <w:pPr>
              <w:jc w:val="center"/>
              <w:rPr>
                <w:rFonts w:cstheme="minorHAnsi"/>
                <w:sz w:val="18"/>
                <w:szCs w:val="18"/>
                <w:lang w:val="en-US"/>
              </w:rPr>
            </w:pPr>
            <w:r w:rsidRPr="00F4023D">
              <w:rPr>
                <w:rFonts w:cstheme="minorHAnsi"/>
                <w:sz w:val="18"/>
                <w:szCs w:val="18"/>
                <w:lang w:val="en-US"/>
              </w:rPr>
              <w:t>(Everhart et al, 2018)</w:t>
            </w:r>
          </w:p>
        </w:tc>
        <w:tc>
          <w:tcPr>
            <w:tcW w:w="1272" w:type="dxa"/>
            <w:vAlign w:val="center"/>
          </w:tcPr>
          <w:p w14:paraId="7DADAA57" w14:textId="4E0EC623" w:rsidR="00A775A5" w:rsidRPr="00F4023D" w:rsidRDefault="00D44612" w:rsidP="004C6F29">
            <w:pPr>
              <w:jc w:val="center"/>
              <w:rPr>
                <w:rFonts w:cstheme="minorHAnsi"/>
                <w:sz w:val="18"/>
                <w:szCs w:val="18"/>
                <w:lang w:val="en-US"/>
              </w:rPr>
            </w:pPr>
            <w:r w:rsidRPr="00F4023D">
              <w:rPr>
                <w:rFonts w:cstheme="minorHAnsi"/>
                <w:sz w:val="18"/>
                <w:szCs w:val="18"/>
              </w:rPr>
              <w:t>USA</w:t>
            </w:r>
          </w:p>
        </w:tc>
      </w:tr>
      <w:tr w:rsidR="009A78A5" w:rsidRPr="00F4023D" w14:paraId="3E14B43F" w14:textId="0A6CC79E" w:rsidTr="004C6F29">
        <w:tc>
          <w:tcPr>
            <w:tcW w:w="709" w:type="dxa"/>
            <w:vAlign w:val="center"/>
          </w:tcPr>
          <w:p w14:paraId="263813E7" w14:textId="77777777" w:rsidR="00A775A5" w:rsidRPr="00F4023D" w:rsidRDefault="00A775A5" w:rsidP="004C6F29">
            <w:pPr>
              <w:jc w:val="center"/>
              <w:rPr>
                <w:rFonts w:cstheme="minorHAnsi"/>
                <w:sz w:val="18"/>
                <w:szCs w:val="18"/>
              </w:rPr>
            </w:pPr>
            <w:r w:rsidRPr="00F4023D">
              <w:rPr>
                <w:rFonts w:cstheme="minorHAnsi"/>
                <w:sz w:val="18"/>
                <w:szCs w:val="18"/>
              </w:rPr>
              <w:t>E18</w:t>
            </w:r>
          </w:p>
        </w:tc>
        <w:tc>
          <w:tcPr>
            <w:tcW w:w="6673" w:type="dxa"/>
          </w:tcPr>
          <w:p w14:paraId="5060497A" w14:textId="1E91615F" w:rsidR="00A775A5" w:rsidRPr="00F4023D" w:rsidRDefault="003D480C" w:rsidP="004C6F29">
            <w:pPr>
              <w:ind w:left="-104"/>
              <w:rPr>
                <w:rFonts w:cstheme="minorHAnsi"/>
                <w:i/>
                <w:iCs/>
                <w:sz w:val="18"/>
                <w:szCs w:val="18"/>
                <w:lang w:val="en-US"/>
              </w:rPr>
            </w:pPr>
            <w:r w:rsidRPr="00F4023D">
              <w:rPr>
                <w:rFonts w:cstheme="minorHAnsi"/>
                <w:i/>
                <w:iCs/>
                <w:sz w:val="18"/>
                <w:szCs w:val="18"/>
                <w:lang w:val="en-US"/>
              </w:rPr>
              <w:t>“</w:t>
            </w:r>
            <w:r w:rsidR="00A775A5" w:rsidRPr="00F4023D">
              <w:rPr>
                <w:rFonts w:cstheme="minorHAnsi"/>
                <w:i/>
                <w:iCs/>
                <w:sz w:val="18"/>
                <w:szCs w:val="18"/>
                <w:lang w:val="en-US"/>
              </w:rPr>
              <w:t>Peritoneal Dialysis Does Not Carry the Same Risk as Hemodialysis in Patients Undergoing Hip or Knee Arthroplasty</w:t>
            </w:r>
            <w:r w:rsidRPr="00F4023D">
              <w:rPr>
                <w:rFonts w:cstheme="minorHAnsi"/>
                <w:i/>
                <w:iCs/>
                <w:sz w:val="18"/>
                <w:szCs w:val="18"/>
                <w:lang w:val="en-US"/>
              </w:rPr>
              <w:t>”</w:t>
            </w:r>
          </w:p>
        </w:tc>
        <w:tc>
          <w:tcPr>
            <w:tcW w:w="1411" w:type="dxa"/>
          </w:tcPr>
          <w:p w14:paraId="18EFAEE1" w14:textId="77777777" w:rsidR="00A775A5" w:rsidRPr="00F4023D" w:rsidRDefault="00A775A5" w:rsidP="004C6F29">
            <w:pPr>
              <w:jc w:val="center"/>
              <w:rPr>
                <w:rFonts w:cstheme="minorHAnsi"/>
                <w:sz w:val="18"/>
                <w:szCs w:val="18"/>
                <w:lang w:val="en-US"/>
              </w:rPr>
            </w:pPr>
            <w:r w:rsidRPr="00F4023D">
              <w:rPr>
                <w:rFonts w:cstheme="minorHAnsi"/>
                <w:sz w:val="18"/>
                <w:szCs w:val="18"/>
                <w:lang w:val="en-US"/>
              </w:rPr>
              <w:t>(Browne et al, 2019)</w:t>
            </w:r>
          </w:p>
        </w:tc>
        <w:tc>
          <w:tcPr>
            <w:tcW w:w="1272" w:type="dxa"/>
            <w:vAlign w:val="center"/>
          </w:tcPr>
          <w:p w14:paraId="0A329D31" w14:textId="0BCD0A1B" w:rsidR="00A775A5" w:rsidRPr="00F4023D" w:rsidRDefault="00D44612" w:rsidP="004C6F29">
            <w:pPr>
              <w:jc w:val="center"/>
              <w:rPr>
                <w:rFonts w:cstheme="minorHAnsi"/>
                <w:sz w:val="18"/>
                <w:szCs w:val="18"/>
                <w:lang w:val="en-US"/>
              </w:rPr>
            </w:pPr>
            <w:r w:rsidRPr="00F4023D">
              <w:rPr>
                <w:rFonts w:cstheme="minorHAnsi"/>
                <w:sz w:val="18"/>
                <w:szCs w:val="18"/>
              </w:rPr>
              <w:t>USA</w:t>
            </w:r>
          </w:p>
        </w:tc>
      </w:tr>
      <w:tr w:rsidR="009A78A5" w:rsidRPr="00F4023D" w14:paraId="19FEBD54" w14:textId="52C51B65" w:rsidTr="004C6F29">
        <w:tc>
          <w:tcPr>
            <w:tcW w:w="709" w:type="dxa"/>
            <w:vAlign w:val="center"/>
          </w:tcPr>
          <w:p w14:paraId="3B53ABCE" w14:textId="77777777" w:rsidR="00A775A5" w:rsidRPr="00F4023D" w:rsidRDefault="00A775A5" w:rsidP="004C6F29">
            <w:pPr>
              <w:jc w:val="center"/>
              <w:rPr>
                <w:rFonts w:cstheme="minorHAnsi"/>
                <w:sz w:val="18"/>
                <w:szCs w:val="18"/>
              </w:rPr>
            </w:pPr>
            <w:r w:rsidRPr="00F4023D">
              <w:rPr>
                <w:rFonts w:cstheme="minorHAnsi"/>
                <w:sz w:val="18"/>
                <w:szCs w:val="18"/>
              </w:rPr>
              <w:t>E19</w:t>
            </w:r>
          </w:p>
        </w:tc>
        <w:tc>
          <w:tcPr>
            <w:tcW w:w="6673" w:type="dxa"/>
          </w:tcPr>
          <w:p w14:paraId="13F2CC4A" w14:textId="77777777" w:rsidR="00A775A5" w:rsidRPr="00F4023D" w:rsidRDefault="00A775A5" w:rsidP="004C6F29">
            <w:pPr>
              <w:ind w:left="-104"/>
              <w:rPr>
                <w:rFonts w:cstheme="minorHAnsi"/>
                <w:i/>
                <w:iCs/>
                <w:sz w:val="18"/>
                <w:szCs w:val="18"/>
                <w:lang w:val="en-US"/>
              </w:rPr>
            </w:pPr>
            <w:r w:rsidRPr="00F4023D">
              <w:rPr>
                <w:rFonts w:cstheme="minorHAnsi"/>
                <w:i/>
                <w:iCs/>
                <w:sz w:val="18"/>
                <w:szCs w:val="18"/>
                <w:lang w:val="en-US"/>
              </w:rPr>
              <w:t>“Prediction of Complications, Readmission, and Revision Surgery Based on Duration of Preoperative Opioid Use: Analysis of Major Joint Replacement and Lumbar Fusion”</w:t>
            </w:r>
          </w:p>
        </w:tc>
        <w:tc>
          <w:tcPr>
            <w:tcW w:w="1411" w:type="dxa"/>
          </w:tcPr>
          <w:p w14:paraId="6493ED2D" w14:textId="77777777" w:rsidR="00A775A5" w:rsidRPr="00F4023D" w:rsidRDefault="00A775A5" w:rsidP="004C6F29">
            <w:pPr>
              <w:jc w:val="center"/>
              <w:rPr>
                <w:rFonts w:cstheme="minorHAnsi"/>
                <w:sz w:val="18"/>
                <w:szCs w:val="18"/>
                <w:lang w:val="en-US"/>
              </w:rPr>
            </w:pPr>
            <w:r w:rsidRPr="00F4023D">
              <w:rPr>
                <w:rFonts w:cstheme="minorHAnsi"/>
                <w:sz w:val="18"/>
                <w:szCs w:val="18"/>
                <w:lang w:val="en-US"/>
              </w:rPr>
              <w:t>(Jain et al, 2019)</w:t>
            </w:r>
          </w:p>
        </w:tc>
        <w:tc>
          <w:tcPr>
            <w:tcW w:w="1272" w:type="dxa"/>
            <w:vAlign w:val="center"/>
          </w:tcPr>
          <w:p w14:paraId="6EB8CD2D" w14:textId="08EB67EB" w:rsidR="00A775A5" w:rsidRPr="00F4023D" w:rsidRDefault="00D44612" w:rsidP="004C6F29">
            <w:pPr>
              <w:jc w:val="center"/>
              <w:rPr>
                <w:rFonts w:cstheme="minorHAnsi"/>
                <w:sz w:val="18"/>
                <w:szCs w:val="18"/>
                <w:lang w:val="en-US"/>
              </w:rPr>
            </w:pPr>
            <w:r w:rsidRPr="00F4023D">
              <w:rPr>
                <w:rFonts w:cstheme="minorHAnsi"/>
                <w:sz w:val="18"/>
                <w:szCs w:val="18"/>
              </w:rPr>
              <w:t>USA</w:t>
            </w:r>
          </w:p>
        </w:tc>
      </w:tr>
      <w:tr w:rsidR="009A78A5" w:rsidRPr="00F4023D" w14:paraId="425590AA" w14:textId="42A42F3C" w:rsidTr="004C6F29">
        <w:tc>
          <w:tcPr>
            <w:tcW w:w="709" w:type="dxa"/>
            <w:vAlign w:val="center"/>
          </w:tcPr>
          <w:p w14:paraId="5CB1FB28" w14:textId="77777777" w:rsidR="00A775A5" w:rsidRPr="00F4023D" w:rsidRDefault="00A775A5" w:rsidP="004C6F29">
            <w:pPr>
              <w:jc w:val="center"/>
              <w:rPr>
                <w:rFonts w:cstheme="minorHAnsi"/>
                <w:sz w:val="18"/>
                <w:szCs w:val="18"/>
              </w:rPr>
            </w:pPr>
            <w:r w:rsidRPr="00F4023D">
              <w:rPr>
                <w:rFonts w:cstheme="minorHAnsi"/>
                <w:sz w:val="18"/>
                <w:szCs w:val="18"/>
              </w:rPr>
              <w:t>E20</w:t>
            </w:r>
          </w:p>
        </w:tc>
        <w:tc>
          <w:tcPr>
            <w:tcW w:w="6673" w:type="dxa"/>
          </w:tcPr>
          <w:p w14:paraId="32FD1DDA" w14:textId="77777777" w:rsidR="00A775A5" w:rsidRPr="00F4023D" w:rsidRDefault="00A775A5" w:rsidP="004C6F29">
            <w:pPr>
              <w:ind w:left="-104"/>
              <w:rPr>
                <w:rFonts w:cstheme="minorHAnsi"/>
                <w:i/>
                <w:iCs/>
                <w:sz w:val="18"/>
                <w:szCs w:val="18"/>
                <w:lang w:val="en-US"/>
              </w:rPr>
            </w:pPr>
            <w:r w:rsidRPr="00F4023D">
              <w:rPr>
                <w:rFonts w:cstheme="minorHAnsi"/>
                <w:i/>
                <w:iCs/>
                <w:sz w:val="18"/>
                <w:szCs w:val="18"/>
                <w:lang w:val="en-US"/>
              </w:rPr>
              <w:t>“Risk factors for infection, revision, death, blood transfusion and longer hospital stay 3 months and 1 year after primary total hip or knee arthroplasty”</w:t>
            </w:r>
          </w:p>
        </w:tc>
        <w:tc>
          <w:tcPr>
            <w:tcW w:w="1411" w:type="dxa"/>
          </w:tcPr>
          <w:p w14:paraId="336EF263" w14:textId="77777777" w:rsidR="00A775A5" w:rsidRPr="00F4023D" w:rsidRDefault="00A775A5" w:rsidP="004C6F29">
            <w:pPr>
              <w:jc w:val="center"/>
              <w:rPr>
                <w:rFonts w:cstheme="minorHAnsi"/>
                <w:sz w:val="18"/>
                <w:szCs w:val="18"/>
                <w:lang w:val="en-US"/>
              </w:rPr>
            </w:pPr>
            <w:r w:rsidRPr="00F4023D">
              <w:rPr>
                <w:rFonts w:cstheme="minorHAnsi"/>
                <w:sz w:val="18"/>
                <w:szCs w:val="18"/>
                <w:lang w:val="en-US"/>
              </w:rPr>
              <w:t>(Rhee et al, 2018)</w:t>
            </w:r>
          </w:p>
        </w:tc>
        <w:tc>
          <w:tcPr>
            <w:tcW w:w="1272" w:type="dxa"/>
            <w:vAlign w:val="center"/>
          </w:tcPr>
          <w:p w14:paraId="2FB4DC40" w14:textId="1E01ACC0" w:rsidR="00A775A5" w:rsidRPr="00F4023D" w:rsidRDefault="00D44612" w:rsidP="004C6F29">
            <w:pPr>
              <w:jc w:val="center"/>
              <w:rPr>
                <w:rFonts w:cstheme="minorHAnsi"/>
                <w:sz w:val="18"/>
                <w:szCs w:val="18"/>
                <w:lang w:val="en-US"/>
              </w:rPr>
            </w:pPr>
            <w:r w:rsidRPr="00F4023D">
              <w:rPr>
                <w:rFonts w:cstheme="minorHAnsi"/>
                <w:sz w:val="18"/>
                <w:szCs w:val="18"/>
                <w:lang w:val="en-US"/>
              </w:rPr>
              <w:t>Canada</w:t>
            </w:r>
          </w:p>
        </w:tc>
      </w:tr>
      <w:tr w:rsidR="009A78A5" w:rsidRPr="00F4023D" w14:paraId="01321EDD" w14:textId="487259B8" w:rsidTr="004C6F29">
        <w:tc>
          <w:tcPr>
            <w:tcW w:w="709" w:type="dxa"/>
            <w:vAlign w:val="center"/>
          </w:tcPr>
          <w:p w14:paraId="679B9549" w14:textId="77777777" w:rsidR="00A775A5" w:rsidRPr="00F4023D" w:rsidRDefault="00A775A5" w:rsidP="004C6F29">
            <w:pPr>
              <w:jc w:val="center"/>
              <w:rPr>
                <w:rFonts w:cstheme="minorHAnsi"/>
                <w:sz w:val="18"/>
                <w:szCs w:val="18"/>
              </w:rPr>
            </w:pPr>
            <w:r w:rsidRPr="00F4023D">
              <w:rPr>
                <w:rFonts w:cstheme="minorHAnsi"/>
                <w:sz w:val="18"/>
                <w:szCs w:val="18"/>
              </w:rPr>
              <w:t>E21</w:t>
            </w:r>
          </w:p>
        </w:tc>
        <w:tc>
          <w:tcPr>
            <w:tcW w:w="6673" w:type="dxa"/>
          </w:tcPr>
          <w:p w14:paraId="56BAEEF4" w14:textId="77777777" w:rsidR="00A775A5" w:rsidRPr="00F4023D" w:rsidRDefault="00A775A5" w:rsidP="004C6F29">
            <w:pPr>
              <w:ind w:left="-104"/>
              <w:rPr>
                <w:rFonts w:cstheme="minorHAnsi"/>
                <w:i/>
                <w:iCs/>
                <w:sz w:val="18"/>
                <w:szCs w:val="18"/>
                <w:lang w:val="en-US"/>
              </w:rPr>
            </w:pPr>
            <w:r w:rsidRPr="00F4023D">
              <w:rPr>
                <w:rFonts w:cstheme="minorHAnsi"/>
                <w:i/>
                <w:iCs/>
                <w:sz w:val="18"/>
                <w:szCs w:val="18"/>
                <w:lang w:val="en-US"/>
              </w:rPr>
              <w:t>“Risk Factors for Surgical Site Infection Following Lower Limb Arthroplasty: A Retrospective Cohort Analysis of 3932 Lower Limb Arthroplasty Procedures in a High-Volume Arthroplasty Unit”</w:t>
            </w:r>
          </w:p>
        </w:tc>
        <w:tc>
          <w:tcPr>
            <w:tcW w:w="1411" w:type="dxa"/>
          </w:tcPr>
          <w:p w14:paraId="5C6DF3E2" w14:textId="77777777" w:rsidR="00A775A5" w:rsidRPr="00F4023D" w:rsidRDefault="00A775A5" w:rsidP="004C6F29">
            <w:pPr>
              <w:jc w:val="center"/>
              <w:rPr>
                <w:rFonts w:cstheme="minorHAnsi"/>
                <w:sz w:val="18"/>
                <w:szCs w:val="18"/>
                <w:lang w:val="en-US"/>
              </w:rPr>
            </w:pPr>
            <w:r w:rsidRPr="00F4023D">
              <w:rPr>
                <w:rFonts w:cstheme="minorHAnsi"/>
                <w:sz w:val="18"/>
                <w:szCs w:val="18"/>
                <w:lang w:val="en-US"/>
              </w:rPr>
              <w:t>(</w:t>
            </w:r>
            <w:proofErr w:type="spellStart"/>
            <w:r w:rsidRPr="00F4023D">
              <w:rPr>
                <w:rFonts w:cstheme="minorHAnsi"/>
                <w:sz w:val="18"/>
                <w:szCs w:val="18"/>
                <w:lang w:val="en-US"/>
              </w:rPr>
              <w:t>Almustafa</w:t>
            </w:r>
            <w:proofErr w:type="spellEnd"/>
            <w:r w:rsidRPr="00F4023D">
              <w:rPr>
                <w:rFonts w:cstheme="minorHAnsi"/>
                <w:sz w:val="18"/>
                <w:szCs w:val="18"/>
                <w:lang w:val="en-US"/>
              </w:rPr>
              <w:t xml:space="preserve"> et al, 2018)</w:t>
            </w:r>
          </w:p>
        </w:tc>
        <w:tc>
          <w:tcPr>
            <w:tcW w:w="1272" w:type="dxa"/>
            <w:vAlign w:val="center"/>
          </w:tcPr>
          <w:p w14:paraId="65E8B2D8" w14:textId="478BAAC0" w:rsidR="00A775A5" w:rsidRPr="00F4023D" w:rsidRDefault="00D44612" w:rsidP="004C6F29">
            <w:pPr>
              <w:jc w:val="center"/>
              <w:rPr>
                <w:rFonts w:cstheme="minorHAnsi"/>
                <w:sz w:val="18"/>
                <w:szCs w:val="18"/>
                <w:lang w:val="en-US"/>
              </w:rPr>
            </w:pPr>
            <w:r w:rsidRPr="00F4023D">
              <w:rPr>
                <w:rFonts w:cstheme="minorHAnsi"/>
                <w:sz w:val="18"/>
                <w:szCs w:val="18"/>
                <w:lang w:val="en-US"/>
              </w:rPr>
              <w:t>United Kingdom</w:t>
            </w:r>
          </w:p>
        </w:tc>
      </w:tr>
      <w:tr w:rsidR="009A78A5" w:rsidRPr="00F4023D" w14:paraId="2FBC579A" w14:textId="2B2201DB" w:rsidTr="004C6F29">
        <w:tc>
          <w:tcPr>
            <w:tcW w:w="709" w:type="dxa"/>
            <w:vAlign w:val="center"/>
          </w:tcPr>
          <w:p w14:paraId="7AD6BE20" w14:textId="77777777" w:rsidR="00A775A5" w:rsidRPr="00F4023D" w:rsidRDefault="00A775A5" w:rsidP="004C6F29">
            <w:pPr>
              <w:jc w:val="center"/>
              <w:rPr>
                <w:rFonts w:cstheme="minorHAnsi"/>
                <w:sz w:val="18"/>
                <w:szCs w:val="18"/>
              </w:rPr>
            </w:pPr>
            <w:r w:rsidRPr="00F4023D">
              <w:rPr>
                <w:rFonts w:cstheme="minorHAnsi"/>
                <w:sz w:val="18"/>
                <w:szCs w:val="18"/>
              </w:rPr>
              <w:t>E22</w:t>
            </w:r>
          </w:p>
        </w:tc>
        <w:tc>
          <w:tcPr>
            <w:tcW w:w="6673" w:type="dxa"/>
          </w:tcPr>
          <w:p w14:paraId="1B48DA86" w14:textId="77777777" w:rsidR="00A775A5" w:rsidRPr="00F4023D" w:rsidRDefault="00A775A5" w:rsidP="004C6F29">
            <w:pPr>
              <w:ind w:left="-104"/>
              <w:rPr>
                <w:rFonts w:cstheme="minorHAnsi"/>
                <w:i/>
                <w:iCs/>
                <w:sz w:val="18"/>
                <w:szCs w:val="18"/>
                <w:lang w:val="en-US"/>
              </w:rPr>
            </w:pPr>
            <w:r w:rsidRPr="00F4023D">
              <w:rPr>
                <w:rFonts w:cstheme="minorHAnsi"/>
                <w:i/>
                <w:iCs/>
                <w:sz w:val="18"/>
                <w:szCs w:val="18"/>
                <w:lang w:val="en-US"/>
              </w:rPr>
              <w:t>“Risk factors of postoperative complications following total knee arthroplasty in Korea: A nationwide retrospective cohort study”</w:t>
            </w:r>
          </w:p>
        </w:tc>
        <w:tc>
          <w:tcPr>
            <w:tcW w:w="1411" w:type="dxa"/>
          </w:tcPr>
          <w:p w14:paraId="54F4004C" w14:textId="77777777" w:rsidR="00A775A5" w:rsidRPr="00F4023D" w:rsidRDefault="00A775A5" w:rsidP="004C6F29">
            <w:pPr>
              <w:jc w:val="center"/>
              <w:rPr>
                <w:rFonts w:cstheme="minorHAnsi"/>
                <w:sz w:val="18"/>
                <w:szCs w:val="18"/>
                <w:lang w:val="en-US"/>
              </w:rPr>
            </w:pPr>
            <w:r w:rsidRPr="00F4023D">
              <w:rPr>
                <w:rFonts w:cstheme="minorHAnsi"/>
                <w:sz w:val="18"/>
                <w:szCs w:val="18"/>
                <w:lang w:val="en-US"/>
              </w:rPr>
              <w:t>(Ko et al, 2021)</w:t>
            </w:r>
          </w:p>
        </w:tc>
        <w:tc>
          <w:tcPr>
            <w:tcW w:w="1272" w:type="dxa"/>
            <w:vAlign w:val="center"/>
          </w:tcPr>
          <w:p w14:paraId="52ADEBED" w14:textId="3C11D927" w:rsidR="00A775A5" w:rsidRPr="00F4023D" w:rsidRDefault="00D44612" w:rsidP="004C6F29">
            <w:pPr>
              <w:jc w:val="center"/>
              <w:rPr>
                <w:rFonts w:cstheme="minorHAnsi"/>
                <w:sz w:val="18"/>
                <w:szCs w:val="18"/>
                <w:lang w:val="en-US"/>
              </w:rPr>
            </w:pPr>
            <w:r w:rsidRPr="00F4023D">
              <w:rPr>
                <w:rFonts w:cstheme="minorHAnsi"/>
                <w:sz w:val="18"/>
                <w:szCs w:val="18"/>
                <w:lang w:val="en-US"/>
              </w:rPr>
              <w:t>South Korea</w:t>
            </w:r>
          </w:p>
        </w:tc>
      </w:tr>
      <w:tr w:rsidR="009A78A5" w:rsidRPr="00F4023D" w14:paraId="0EE15A5E" w14:textId="7540B3DE" w:rsidTr="004C6F29">
        <w:tc>
          <w:tcPr>
            <w:tcW w:w="709" w:type="dxa"/>
            <w:vAlign w:val="center"/>
          </w:tcPr>
          <w:p w14:paraId="67796950" w14:textId="77777777" w:rsidR="00A775A5" w:rsidRPr="00F4023D" w:rsidRDefault="00A775A5" w:rsidP="004C6F29">
            <w:pPr>
              <w:jc w:val="center"/>
              <w:rPr>
                <w:rFonts w:cstheme="minorHAnsi"/>
                <w:sz w:val="18"/>
                <w:szCs w:val="18"/>
              </w:rPr>
            </w:pPr>
            <w:r w:rsidRPr="00F4023D">
              <w:rPr>
                <w:rFonts w:cstheme="minorHAnsi"/>
                <w:sz w:val="18"/>
                <w:szCs w:val="18"/>
              </w:rPr>
              <w:t>E23</w:t>
            </w:r>
          </w:p>
        </w:tc>
        <w:tc>
          <w:tcPr>
            <w:tcW w:w="6673" w:type="dxa"/>
          </w:tcPr>
          <w:p w14:paraId="37CA0F02" w14:textId="77777777" w:rsidR="00A775A5" w:rsidRPr="00F4023D" w:rsidRDefault="00A775A5" w:rsidP="004C6F29">
            <w:pPr>
              <w:ind w:left="-104"/>
              <w:rPr>
                <w:rFonts w:cstheme="minorHAnsi"/>
                <w:i/>
                <w:iCs/>
                <w:sz w:val="18"/>
                <w:szCs w:val="18"/>
                <w:lang w:val="en-US"/>
              </w:rPr>
            </w:pPr>
            <w:r w:rsidRPr="00F4023D">
              <w:rPr>
                <w:rFonts w:cstheme="minorHAnsi"/>
                <w:i/>
                <w:iCs/>
                <w:sz w:val="18"/>
                <w:szCs w:val="18"/>
                <w:lang w:val="en-US"/>
              </w:rPr>
              <w:t>“Surgical site infection incidence and risk factors in knee arthroplasty: A 9-year prospective cohort study at a university teaching hospital in Spain”</w:t>
            </w:r>
          </w:p>
        </w:tc>
        <w:tc>
          <w:tcPr>
            <w:tcW w:w="1411" w:type="dxa"/>
          </w:tcPr>
          <w:p w14:paraId="5DAE9D9C" w14:textId="77777777" w:rsidR="00A775A5" w:rsidRPr="00F4023D" w:rsidRDefault="00A775A5" w:rsidP="004C6F29">
            <w:pPr>
              <w:jc w:val="center"/>
              <w:rPr>
                <w:rFonts w:cstheme="minorHAnsi"/>
                <w:sz w:val="18"/>
                <w:szCs w:val="18"/>
              </w:rPr>
            </w:pPr>
            <w:r w:rsidRPr="00F4023D">
              <w:rPr>
                <w:rFonts w:cstheme="minorHAnsi"/>
                <w:sz w:val="18"/>
                <w:szCs w:val="18"/>
              </w:rPr>
              <w:t>(</w:t>
            </w:r>
            <w:proofErr w:type="spellStart"/>
            <w:r w:rsidRPr="00F4023D">
              <w:rPr>
                <w:rFonts w:cstheme="minorHAnsi"/>
                <w:sz w:val="18"/>
                <w:szCs w:val="18"/>
              </w:rPr>
              <w:t>Hijas-Gómez</w:t>
            </w:r>
            <w:proofErr w:type="spellEnd"/>
            <w:r w:rsidRPr="00F4023D">
              <w:rPr>
                <w:rFonts w:cstheme="minorHAnsi"/>
                <w:sz w:val="18"/>
                <w:szCs w:val="18"/>
              </w:rPr>
              <w:t xml:space="preserve"> </w:t>
            </w:r>
            <w:proofErr w:type="spellStart"/>
            <w:r w:rsidRPr="00F4023D">
              <w:rPr>
                <w:rFonts w:cstheme="minorHAnsi"/>
                <w:sz w:val="18"/>
                <w:szCs w:val="18"/>
              </w:rPr>
              <w:t>et</w:t>
            </w:r>
            <w:proofErr w:type="spellEnd"/>
            <w:r w:rsidRPr="00F4023D">
              <w:rPr>
                <w:rFonts w:cstheme="minorHAnsi"/>
                <w:sz w:val="18"/>
                <w:szCs w:val="18"/>
              </w:rPr>
              <w:t xml:space="preserve"> al, 2018)</w:t>
            </w:r>
          </w:p>
        </w:tc>
        <w:tc>
          <w:tcPr>
            <w:tcW w:w="1272" w:type="dxa"/>
            <w:vAlign w:val="center"/>
          </w:tcPr>
          <w:p w14:paraId="4E414482" w14:textId="2CE9070C" w:rsidR="00A775A5" w:rsidRPr="00F4023D" w:rsidRDefault="00D44612" w:rsidP="004C6F29">
            <w:pPr>
              <w:jc w:val="center"/>
              <w:rPr>
                <w:rFonts w:cstheme="minorHAnsi"/>
                <w:sz w:val="18"/>
                <w:szCs w:val="18"/>
              </w:rPr>
            </w:pPr>
            <w:proofErr w:type="spellStart"/>
            <w:r w:rsidRPr="00F4023D">
              <w:rPr>
                <w:rFonts w:cstheme="minorHAnsi"/>
                <w:sz w:val="18"/>
                <w:szCs w:val="18"/>
              </w:rPr>
              <w:t>Spain</w:t>
            </w:r>
            <w:proofErr w:type="spellEnd"/>
          </w:p>
        </w:tc>
      </w:tr>
      <w:tr w:rsidR="009A78A5" w:rsidRPr="00F4023D" w14:paraId="47EC78EF" w14:textId="38EE089E" w:rsidTr="004C6F29">
        <w:tc>
          <w:tcPr>
            <w:tcW w:w="709" w:type="dxa"/>
            <w:vAlign w:val="center"/>
          </w:tcPr>
          <w:p w14:paraId="765482D0" w14:textId="77777777" w:rsidR="00A775A5" w:rsidRPr="00F4023D" w:rsidRDefault="00A775A5" w:rsidP="004C6F29">
            <w:pPr>
              <w:jc w:val="center"/>
              <w:rPr>
                <w:rFonts w:cstheme="minorHAnsi"/>
                <w:sz w:val="18"/>
                <w:szCs w:val="18"/>
              </w:rPr>
            </w:pPr>
            <w:r w:rsidRPr="00F4023D">
              <w:rPr>
                <w:rFonts w:cstheme="minorHAnsi"/>
                <w:sz w:val="18"/>
                <w:szCs w:val="18"/>
              </w:rPr>
              <w:t>E24</w:t>
            </w:r>
          </w:p>
        </w:tc>
        <w:tc>
          <w:tcPr>
            <w:tcW w:w="6673" w:type="dxa"/>
          </w:tcPr>
          <w:p w14:paraId="232B6E62" w14:textId="77777777" w:rsidR="00A775A5" w:rsidRPr="00F4023D" w:rsidRDefault="00A775A5" w:rsidP="004C6F29">
            <w:pPr>
              <w:ind w:left="-104"/>
              <w:rPr>
                <w:rFonts w:cstheme="minorHAnsi"/>
                <w:i/>
                <w:iCs/>
                <w:sz w:val="18"/>
                <w:szCs w:val="18"/>
                <w:lang w:val="en-US"/>
              </w:rPr>
            </w:pPr>
            <w:r w:rsidRPr="00F4023D">
              <w:rPr>
                <w:rFonts w:cstheme="minorHAnsi"/>
                <w:i/>
                <w:iCs/>
                <w:sz w:val="18"/>
                <w:szCs w:val="18"/>
                <w:lang w:val="en-US"/>
              </w:rPr>
              <w:t>“Surgical site infection after primary total knee arthroplasty is associated with a longer duration of surgery”</w:t>
            </w:r>
          </w:p>
        </w:tc>
        <w:tc>
          <w:tcPr>
            <w:tcW w:w="1411" w:type="dxa"/>
          </w:tcPr>
          <w:p w14:paraId="54367327" w14:textId="77777777" w:rsidR="00A775A5" w:rsidRPr="00F4023D" w:rsidRDefault="00A775A5" w:rsidP="004C6F29">
            <w:pPr>
              <w:jc w:val="center"/>
              <w:rPr>
                <w:rFonts w:cstheme="minorHAnsi"/>
                <w:sz w:val="18"/>
                <w:szCs w:val="18"/>
                <w:lang w:val="en-US"/>
              </w:rPr>
            </w:pPr>
            <w:r w:rsidRPr="00F4023D">
              <w:rPr>
                <w:rFonts w:cstheme="minorHAnsi"/>
                <w:sz w:val="18"/>
                <w:szCs w:val="18"/>
                <w:lang w:val="en-US"/>
              </w:rPr>
              <w:t>(Teo et al, 2018)</w:t>
            </w:r>
          </w:p>
        </w:tc>
        <w:tc>
          <w:tcPr>
            <w:tcW w:w="1272" w:type="dxa"/>
            <w:vAlign w:val="center"/>
          </w:tcPr>
          <w:p w14:paraId="1ECD63A0" w14:textId="27B2DBB7" w:rsidR="00A775A5" w:rsidRPr="00F4023D" w:rsidRDefault="00D44612" w:rsidP="004C6F29">
            <w:pPr>
              <w:jc w:val="center"/>
              <w:rPr>
                <w:rFonts w:cstheme="minorHAnsi"/>
                <w:sz w:val="18"/>
                <w:szCs w:val="18"/>
                <w:lang w:val="en-US"/>
              </w:rPr>
            </w:pPr>
            <w:r w:rsidRPr="00F4023D">
              <w:rPr>
                <w:rFonts w:cstheme="minorHAnsi"/>
                <w:sz w:val="18"/>
                <w:szCs w:val="18"/>
                <w:lang w:val="en-US"/>
              </w:rPr>
              <w:t>Singapore</w:t>
            </w:r>
          </w:p>
        </w:tc>
      </w:tr>
      <w:tr w:rsidR="009A78A5" w:rsidRPr="00F4023D" w14:paraId="47B20FF6" w14:textId="4873BCE1" w:rsidTr="004C6F29">
        <w:tc>
          <w:tcPr>
            <w:tcW w:w="709" w:type="dxa"/>
            <w:vAlign w:val="center"/>
          </w:tcPr>
          <w:p w14:paraId="55E83387" w14:textId="77777777" w:rsidR="00A775A5" w:rsidRPr="00F4023D" w:rsidRDefault="00A775A5" w:rsidP="004C6F29">
            <w:pPr>
              <w:jc w:val="center"/>
              <w:rPr>
                <w:rFonts w:cstheme="minorHAnsi"/>
                <w:sz w:val="18"/>
                <w:szCs w:val="18"/>
              </w:rPr>
            </w:pPr>
            <w:r w:rsidRPr="00F4023D">
              <w:rPr>
                <w:rFonts w:cstheme="minorHAnsi"/>
                <w:sz w:val="18"/>
                <w:szCs w:val="18"/>
              </w:rPr>
              <w:t>E25</w:t>
            </w:r>
          </w:p>
        </w:tc>
        <w:tc>
          <w:tcPr>
            <w:tcW w:w="6673" w:type="dxa"/>
          </w:tcPr>
          <w:p w14:paraId="480D9F8E" w14:textId="77777777" w:rsidR="00A775A5" w:rsidRPr="00F4023D" w:rsidRDefault="00A775A5" w:rsidP="004C6F29">
            <w:pPr>
              <w:tabs>
                <w:tab w:val="left" w:pos="948"/>
              </w:tabs>
              <w:ind w:left="-104"/>
              <w:rPr>
                <w:rFonts w:cstheme="minorHAnsi"/>
                <w:i/>
                <w:iCs/>
                <w:sz w:val="18"/>
                <w:szCs w:val="18"/>
                <w:lang w:val="en-US"/>
              </w:rPr>
            </w:pPr>
            <w:r w:rsidRPr="00F4023D">
              <w:rPr>
                <w:rFonts w:cstheme="minorHAnsi"/>
                <w:i/>
                <w:iCs/>
                <w:sz w:val="18"/>
                <w:szCs w:val="18"/>
                <w:lang w:val="en-US"/>
              </w:rPr>
              <w:t>“The Radiographic Prepatellar Fat Thickness Ratio Correlates with Infection Risk After Total Knee Arthroplasty”</w:t>
            </w:r>
          </w:p>
        </w:tc>
        <w:tc>
          <w:tcPr>
            <w:tcW w:w="1411" w:type="dxa"/>
          </w:tcPr>
          <w:p w14:paraId="4DAED870" w14:textId="77777777" w:rsidR="00A775A5" w:rsidRPr="00F4023D" w:rsidRDefault="00A775A5" w:rsidP="004C6F29">
            <w:pPr>
              <w:jc w:val="center"/>
              <w:rPr>
                <w:rFonts w:cstheme="minorHAnsi"/>
                <w:sz w:val="18"/>
                <w:szCs w:val="18"/>
                <w:lang w:val="en-US"/>
              </w:rPr>
            </w:pPr>
            <w:r w:rsidRPr="00F4023D">
              <w:rPr>
                <w:rFonts w:cstheme="minorHAnsi"/>
                <w:sz w:val="18"/>
                <w:szCs w:val="18"/>
                <w:lang w:val="en-US"/>
              </w:rPr>
              <w:t>(Wagner et al, 2018)</w:t>
            </w:r>
          </w:p>
        </w:tc>
        <w:tc>
          <w:tcPr>
            <w:tcW w:w="1272" w:type="dxa"/>
            <w:vAlign w:val="center"/>
          </w:tcPr>
          <w:p w14:paraId="1B21CFB8" w14:textId="66F6A6CA" w:rsidR="00A775A5" w:rsidRPr="00F4023D" w:rsidRDefault="00D44612" w:rsidP="004C6F29">
            <w:pPr>
              <w:jc w:val="center"/>
              <w:rPr>
                <w:rFonts w:cstheme="minorHAnsi"/>
                <w:sz w:val="18"/>
                <w:szCs w:val="18"/>
                <w:lang w:val="en-US"/>
              </w:rPr>
            </w:pPr>
            <w:r w:rsidRPr="00F4023D">
              <w:rPr>
                <w:rFonts w:cstheme="minorHAnsi"/>
                <w:sz w:val="18"/>
                <w:szCs w:val="18"/>
              </w:rPr>
              <w:t>USA</w:t>
            </w:r>
          </w:p>
        </w:tc>
      </w:tr>
      <w:tr w:rsidR="009A78A5" w:rsidRPr="00F4023D" w14:paraId="6731A8E2" w14:textId="7B2A805C" w:rsidTr="004C6F29">
        <w:tc>
          <w:tcPr>
            <w:tcW w:w="709" w:type="dxa"/>
            <w:vAlign w:val="center"/>
          </w:tcPr>
          <w:p w14:paraId="151B30F4" w14:textId="77777777" w:rsidR="00A775A5" w:rsidRPr="00F4023D" w:rsidRDefault="00A775A5" w:rsidP="004C6F29">
            <w:pPr>
              <w:jc w:val="center"/>
              <w:rPr>
                <w:rFonts w:cstheme="minorHAnsi"/>
                <w:sz w:val="18"/>
                <w:szCs w:val="18"/>
              </w:rPr>
            </w:pPr>
            <w:r w:rsidRPr="00F4023D">
              <w:rPr>
                <w:rFonts w:cstheme="minorHAnsi"/>
                <w:sz w:val="18"/>
                <w:szCs w:val="18"/>
              </w:rPr>
              <w:t>E26</w:t>
            </w:r>
          </w:p>
        </w:tc>
        <w:tc>
          <w:tcPr>
            <w:tcW w:w="6673" w:type="dxa"/>
          </w:tcPr>
          <w:p w14:paraId="4F31B949" w14:textId="77777777" w:rsidR="00A775A5" w:rsidRPr="00F4023D" w:rsidRDefault="00A775A5" w:rsidP="004C6F29">
            <w:pPr>
              <w:ind w:left="-104"/>
              <w:rPr>
                <w:rFonts w:cstheme="minorHAnsi"/>
                <w:i/>
                <w:iCs/>
                <w:sz w:val="18"/>
                <w:szCs w:val="18"/>
                <w:lang w:val="en-US"/>
              </w:rPr>
            </w:pPr>
            <w:r w:rsidRPr="00F4023D">
              <w:rPr>
                <w:rFonts w:cstheme="minorHAnsi"/>
                <w:i/>
                <w:iCs/>
                <w:sz w:val="18"/>
                <w:szCs w:val="18"/>
                <w:lang w:val="en-US"/>
              </w:rPr>
              <w:t>“The Seasonal Variability of Surgical Site Infections in Knee and Hip Arthroplasty”</w:t>
            </w:r>
          </w:p>
        </w:tc>
        <w:tc>
          <w:tcPr>
            <w:tcW w:w="1411" w:type="dxa"/>
          </w:tcPr>
          <w:p w14:paraId="419E0BA6" w14:textId="77777777" w:rsidR="00A775A5" w:rsidRPr="00F4023D" w:rsidRDefault="00A775A5" w:rsidP="004C6F29">
            <w:pPr>
              <w:jc w:val="center"/>
              <w:rPr>
                <w:rFonts w:cstheme="minorHAnsi"/>
                <w:sz w:val="18"/>
                <w:szCs w:val="18"/>
                <w:lang w:val="en-US"/>
              </w:rPr>
            </w:pPr>
            <w:r w:rsidRPr="00F4023D">
              <w:rPr>
                <w:rFonts w:cstheme="minorHAnsi"/>
                <w:sz w:val="18"/>
                <w:szCs w:val="18"/>
                <w:lang w:val="en-US"/>
              </w:rPr>
              <w:t>(Anthony et al, 2018)</w:t>
            </w:r>
          </w:p>
        </w:tc>
        <w:tc>
          <w:tcPr>
            <w:tcW w:w="1272" w:type="dxa"/>
            <w:vAlign w:val="center"/>
          </w:tcPr>
          <w:p w14:paraId="288B444E" w14:textId="2E10CD08" w:rsidR="00A775A5" w:rsidRPr="00F4023D" w:rsidRDefault="00D44612" w:rsidP="004C6F29">
            <w:pPr>
              <w:jc w:val="center"/>
              <w:rPr>
                <w:rFonts w:cstheme="minorHAnsi"/>
                <w:sz w:val="18"/>
                <w:szCs w:val="18"/>
                <w:lang w:val="en-US"/>
              </w:rPr>
            </w:pPr>
            <w:r w:rsidRPr="00F4023D">
              <w:rPr>
                <w:rFonts w:cstheme="minorHAnsi"/>
                <w:sz w:val="18"/>
                <w:szCs w:val="18"/>
              </w:rPr>
              <w:t>USA</w:t>
            </w:r>
          </w:p>
        </w:tc>
      </w:tr>
      <w:tr w:rsidR="009A78A5" w:rsidRPr="00F4023D" w14:paraId="7233C9E8" w14:textId="01C839FC" w:rsidTr="004C6F29">
        <w:tc>
          <w:tcPr>
            <w:tcW w:w="709" w:type="dxa"/>
            <w:vAlign w:val="center"/>
          </w:tcPr>
          <w:p w14:paraId="7728CE2D" w14:textId="77777777" w:rsidR="00A775A5" w:rsidRPr="00F4023D" w:rsidRDefault="00A775A5" w:rsidP="004C6F29">
            <w:pPr>
              <w:jc w:val="center"/>
              <w:rPr>
                <w:rFonts w:cstheme="minorHAnsi"/>
                <w:sz w:val="18"/>
                <w:szCs w:val="18"/>
              </w:rPr>
            </w:pPr>
            <w:r w:rsidRPr="00F4023D">
              <w:rPr>
                <w:rFonts w:cstheme="minorHAnsi"/>
                <w:sz w:val="18"/>
                <w:szCs w:val="18"/>
              </w:rPr>
              <w:t>E27</w:t>
            </w:r>
          </w:p>
        </w:tc>
        <w:tc>
          <w:tcPr>
            <w:tcW w:w="6673" w:type="dxa"/>
          </w:tcPr>
          <w:p w14:paraId="737A79A6" w14:textId="77777777" w:rsidR="00A775A5" w:rsidRPr="00F4023D" w:rsidRDefault="00A775A5" w:rsidP="004C6F29">
            <w:pPr>
              <w:ind w:left="-104"/>
              <w:rPr>
                <w:rFonts w:cstheme="minorHAnsi"/>
                <w:i/>
                <w:iCs/>
                <w:sz w:val="18"/>
                <w:szCs w:val="18"/>
                <w:lang w:val="en-US"/>
              </w:rPr>
            </w:pPr>
            <w:r w:rsidRPr="00F4023D">
              <w:rPr>
                <w:rFonts w:cstheme="minorHAnsi"/>
                <w:i/>
                <w:iCs/>
                <w:sz w:val="18"/>
                <w:szCs w:val="18"/>
                <w:lang w:val="en-US"/>
              </w:rPr>
              <w:t>“What Are Risk Factors for Infection after Primary or Revision Total Joint Arthroplasty in Patients Older Than 80 Years?”</w:t>
            </w:r>
          </w:p>
        </w:tc>
        <w:tc>
          <w:tcPr>
            <w:tcW w:w="1411" w:type="dxa"/>
          </w:tcPr>
          <w:p w14:paraId="3C99C553" w14:textId="77777777" w:rsidR="00A775A5" w:rsidRPr="00F4023D" w:rsidRDefault="00A775A5" w:rsidP="004C6F29">
            <w:pPr>
              <w:jc w:val="center"/>
              <w:rPr>
                <w:rFonts w:cstheme="minorHAnsi"/>
                <w:sz w:val="18"/>
                <w:szCs w:val="18"/>
                <w:lang w:val="en-US"/>
              </w:rPr>
            </w:pPr>
            <w:r w:rsidRPr="00F4023D">
              <w:rPr>
                <w:rFonts w:cstheme="minorHAnsi"/>
                <w:sz w:val="18"/>
                <w:szCs w:val="18"/>
                <w:lang w:val="en-US"/>
              </w:rPr>
              <w:t>(Sodhi et al, 2020)</w:t>
            </w:r>
          </w:p>
        </w:tc>
        <w:tc>
          <w:tcPr>
            <w:tcW w:w="1272" w:type="dxa"/>
            <w:vAlign w:val="center"/>
          </w:tcPr>
          <w:p w14:paraId="79651D42" w14:textId="078DA4FB" w:rsidR="00A775A5" w:rsidRPr="00F4023D" w:rsidRDefault="00D44612" w:rsidP="004C6F29">
            <w:pPr>
              <w:jc w:val="center"/>
              <w:rPr>
                <w:rFonts w:cstheme="minorHAnsi"/>
                <w:sz w:val="18"/>
                <w:szCs w:val="18"/>
                <w:lang w:val="en-US"/>
              </w:rPr>
            </w:pPr>
            <w:r w:rsidRPr="00F4023D">
              <w:rPr>
                <w:rFonts w:cstheme="minorHAnsi"/>
                <w:sz w:val="18"/>
                <w:szCs w:val="18"/>
              </w:rPr>
              <w:t>USA</w:t>
            </w:r>
          </w:p>
        </w:tc>
      </w:tr>
    </w:tbl>
    <w:p w14:paraId="5FAD0845" w14:textId="77777777" w:rsidR="004C6F29" w:rsidRDefault="004C6F29" w:rsidP="00382212">
      <w:pPr>
        <w:spacing w:after="0" w:line="360" w:lineRule="auto"/>
        <w:jc w:val="both"/>
        <w:rPr>
          <w:rFonts w:cstheme="minorHAnsi"/>
        </w:rPr>
      </w:pPr>
    </w:p>
    <w:p w14:paraId="503DE8DB" w14:textId="77777777" w:rsidR="004C6F29" w:rsidRDefault="004C6F29" w:rsidP="00382212">
      <w:pPr>
        <w:spacing w:after="0" w:line="360" w:lineRule="auto"/>
        <w:jc w:val="both"/>
        <w:rPr>
          <w:rFonts w:cstheme="minorHAnsi"/>
        </w:rPr>
        <w:sectPr w:rsidR="004C6F29" w:rsidSect="004C6F29">
          <w:type w:val="continuous"/>
          <w:pgSz w:w="11906" w:h="16838"/>
          <w:pgMar w:top="993" w:right="1080" w:bottom="1418" w:left="1080" w:header="709" w:footer="709" w:gutter="0"/>
          <w:cols w:space="708"/>
          <w:titlePg/>
          <w:docGrid w:linePitch="360"/>
        </w:sectPr>
      </w:pPr>
    </w:p>
    <w:p w14:paraId="0762D738" w14:textId="11038A31" w:rsidR="004F6933" w:rsidRPr="004C6F29" w:rsidRDefault="00D96D0B" w:rsidP="001B5120">
      <w:pPr>
        <w:spacing w:after="120" w:line="360" w:lineRule="auto"/>
        <w:ind w:left="-170" w:right="-170"/>
        <w:jc w:val="both"/>
        <w:rPr>
          <w:rFonts w:cstheme="minorHAnsi"/>
          <w:b/>
          <w:bCs/>
        </w:rPr>
      </w:pPr>
      <w:r w:rsidRPr="004C6F29">
        <w:rPr>
          <w:rFonts w:cstheme="minorHAnsi"/>
          <w:b/>
          <w:bCs/>
        </w:rPr>
        <w:t>RESULTS</w:t>
      </w:r>
    </w:p>
    <w:p w14:paraId="0CDF91B7" w14:textId="77777777" w:rsidR="00D44612" w:rsidRPr="00D44612" w:rsidRDefault="00D44612" w:rsidP="004C6F29">
      <w:pPr>
        <w:pStyle w:val="Legenda"/>
        <w:spacing w:line="360" w:lineRule="auto"/>
        <w:ind w:left="-170" w:right="-170"/>
        <w:jc w:val="both"/>
        <w:rPr>
          <w:rFonts w:asciiTheme="minorHAnsi" w:eastAsiaTheme="minorHAnsi" w:hAnsiTheme="minorHAnsi" w:cstheme="minorHAnsi"/>
          <w:bCs w:val="0"/>
          <w:szCs w:val="22"/>
          <w:lang w:val="en-US"/>
        </w:rPr>
      </w:pPr>
      <w:r w:rsidRPr="00D44612">
        <w:rPr>
          <w:rFonts w:asciiTheme="minorHAnsi" w:eastAsiaTheme="minorHAnsi" w:hAnsiTheme="minorHAnsi" w:cstheme="minorHAnsi"/>
          <w:bCs w:val="0"/>
          <w:szCs w:val="22"/>
          <w:lang w:val="en-US"/>
        </w:rPr>
        <w:t xml:space="preserve">Data extracted from the articles were analyzed by two independent reviewers using a tabulated data </w:t>
      </w:r>
      <w:r w:rsidRPr="00D44612">
        <w:rPr>
          <w:rFonts w:asciiTheme="minorHAnsi" w:eastAsiaTheme="minorHAnsi" w:hAnsiTheme="minorHAnsi" w:cstheme="minorHAnsi"/>
          <w:bCs w:val="0"/>
          <w:szCs w:val="22"/>
          <w:lang w:val="en-US"/>
        </w:rPr>
        <w:t>extraction instrument developed to summarize key findings relevant to the review question.</w:t>
      </w:r>
    </w:p>
    <w:p w14:paraId="77E5C828" w14:textId="77777777" w:rsidR="00D44612" w:rsidRDefault="00D44612" w:rsidP="004C6F29">
      <w:pPr>
        <w:pStyle w:val="Legenda"/>
        <w:spacing w:line="360" w:lineRule="auto"/>
        <w:ind w:left="-170" w:right="-170"/>
        <w:jc w:val="both"/>
        <w:rPr>
          <w:rFonts w:asciiTheme="minorHAnsi" w:eastAsiaTheme="minorHAnsi" w:hAnsiTheme="minorHAnsi" w:cstheme="minorHAnsi"/>
          <w:bCs w:val="0"/>
          <w:szCs w:val="22"/>
          <w:lang w:val="en-US"/>
        </w:rPr>
      </w:pPr>
      <w:r w:rsidRPr="00D44612">
        <w:rPr>
          <w:rFonts w:asciiTheme="minorHAnsi" w:eastAsiaTheme="minorHAnsi" w:hAnsiTheme="minorHAnsi" w:cstheme="minorHAnsi"/>
          <w:bCs w:val="0"/>
          <w:szCs w:val="22"/>
          <w:lang w:val="en-US"/>
        </w:rPr>
        <w:t>The results were presented in a continuous and schematic text (Tables 2 and 3).</w:t>
      </w:r>
    </w:p>
    <w:p w14:paraId="721B0108" w14:textId="77777777" w:rsidR="004C6F29" w:rsidRDefault="004C6F29" w:rsidP="004C6F29">
      <w:pPr>
        <w:rPr>
          <w:lang w:val="en-US"/>
        </w:rPr>
        <w:sectPr w:rsidR="004C6F29" w:rsidSect="00A5365E">
          <w:type w:val="continuous"/>
          <w:pgSz w:w="11906" w:h="16838"/>
          <w:pgMar w:top="1121" w:right="1080" w:bottom="1418" w:left="1080" w:header="709" w:footer="709" w:gutter="0"/>
          <w:cols w:num="2" w:space="708"/>
          <w:docGrid w:linePitch="360"/>
        </w:sectPr>
      </w:pPr>
    </w:p>
    <w:p w14:paraId="006A6A5D" w14:textId="77777777" w:rsidR="004C6F29" w:rsidRDefault="00D44612" w:rsidP="004C6F29">
      <w:pPr>
        <w:pStyle w:val="Legenda"/>
        <w:spacing w:line="240" w:lineRule="auto"/>
        <w:ind w:left="-170" w:right="-170"/>
        <w:jc w:val="both"/>
        <w:rPr>
          <w:rFonts w:asciiTheme="minorHAnsi" w:eastAsiaTheme="minorHAnsi" w:hAnsiTheme="minorHAnsi" w:cstheme="minorHAnsi"/>
          <w:bCs w:val="0"/>
          <w:szCs w:val="22"/>
          <w:lang w:val="en-US"/>
        </w:rPr>
      </w:pPr>
      <w:r w:rsidRPr="00D44612">
        <w:rPr>
          <w:rFonts w:asciiTheme="minorHAnsi" w:eastAsiaTheme="minorHAnsi" w:hAnsiTheme="minorHAnsi" w:cstheme="minorHAnsi"/>
          <w:bCs w:val="0"/>
          <w:szCs w:val="22"/>
          <w:lang w:val="en-US"/>
        </w:rPr>
        <w:t>Table 2</w:t>
      </w:r>
    </w:p>
    <w:p w14:paraId="387E7EFA" w14:textId="3410B7DD" w:rsidR="008B6DCF" w:rsidRPr="00D44612" w:rsidRDefault="00D44612" w:rsidP="001B5120">
      <w:pPr>
        <w:pStyle w:val="Legenda"/>
        <w:spacing w:after="120" w:line="240" w:lineRule="auto"/>
        <w:ind w:left="-170" w:right="-170"/>
        <w:jc w:val="both"/>
        <w:rPr>
          <w:rFonts w:asciiTheme="minorHAnsi" w:hAnsiTheme="minorHAnsi" w:cstheme="minorHAnsi"/>
          <w:bCs w:val="0"/>
          <w:szCs w:val="22"/>
          <w:lang w:val="en-US"/>
        </w:rPr>
      </w:pPr>
      <w:r w:rsidRPr="00D44612">
        <w:rPr>
          <w:rFonts w:asciiTheme="minorHAnsi" w:eastAsiaTheme="minorHAnsi" w:hAnsiTheme="minorHAnsi" w:cstheme="minorHAnsi"/>
          <w:bCs w:val="0"/>
          <w:szCs w:val="22"/>
          <w:lang w:val="en-US"/>
        </w:rPr>
        <w:t xml:space="preserve">Non-modifiable </w:t>
      </w:r>
      <w:r w:rsidR="00D96D0B">
        <w:rPr>
          <w:rFonts w:asciiTheme="minorHAnsi" w:eastAsiaTheme="minorHAnsi" w:hAnsiTheme="minorHAnsi" w:cstheme="minorHAnsi"/>
          <w:bCs w:val="0"/>
          <w:szCs w:val="22"/>
          <w:lang w:val="en-US"/>
        </w:rPr>
        <w:t>SSIs</w:t>
      </w:r>
      <w:r w:rsidRPr="00D44612">
        <w:rPr>
          <w:rFonts w:asciiTheme="minorHAnsi" w:eastAsiaTheme="minorHAnsi" w:hAnsiTheme="minorHAnsi" w:cstheme="minorHAnsi"/>
          <w:bCs w:val="0"/>
          <w:szCs w:val="22"/>
          <w:lang w:val="en-US"/>
        </w:rPr>
        <w:t xml:space="preserve"> risk factors</w:t>
      </w:r>
    </w:p>
    <w:tbl>
      <w:tblPr>
        <w:tblStyle w:val="TabelacomGrelha"/>
        <w:tblW w:w="10065" w:type="dxa"/>
        <w:tblInd w:w="-142" w:type="dxa"/>
        <w:tblBorders>
          <w:left w:val="none" w:sz="0" w:space="0" w:color="auto"/>
          <w:right w:val="none" w:sz="0" w:space="0" w:color="auto"/>
        </w:tblBorders>
        <w:tblLayout w:type="fixed"/>
        <w:tblLook w:val="04A0" w:firstRow="1" w:lastRow="0" w:firstColumn="1" w:lastColumn="0" w:noHBand="0" w:noVBand="1"/>
      </w:tblPr>
      <w:tblGrid>
        <w:gridCol w:w="1793"/>
        <w:gridCol w:w="1554"/>
        <w:gridCol w:w="1735"/>
        <w:gridCol w:w="1558"/>
        <w:gridCol w:w="3425"/>
      </w:tblGrid>
      <w:tr w:rsidR="004A4753" w:rsidRPr="00D96D0B" w14:paraId="06090DBF" w14:textId="77777777" w:rsidTr="004C6F29">
        <w:trPr>
          <w:cantSplit/>
          <w:trHeight w:val="20"/>
        </w:trPr>
        <w:tc>
          <w:tcPr>
            <w:tcW w:w="1793" w:type="dxa"/>
            <w:shd w:val="clear" w:color="auto" w:fill="auto"/>
            <w:vAlign w:val="center"/>
          </w:tcPr>
          <w:p w14:paraId="309D34CF" w14:textId="2EBF3C9F" w:rsidR="004A4753" w:rsidRPr="00D96D0B" w:rsidRDefault="004A4753" w:rsidP="004A4753">
            <w:pPr>
              <w:jc w:val="center"/>
              <w:rPr>
                <w:rFonts w:cstheme="minorHAnsi"/>
                <w:sz w:val="18"/>
                <w:szCs w:val="18"/>
              </w:rPr>
            </w:pPr>
            <w:r w:rsidRPr="00D96D0B">
              <w:rPr>
                <w:rFonts w:cstheme="minorHAnsi"/>
                <w:sz w:val="18"/>
                <w:szCs w:val="18"/>
              </w:rPr>
              <w:t>FACTORS</w:t>
            </w:r>
          </w:p>
        </w:tc>
        <w:tc>
          <w:tcPr>
            <w:tcW w:w="1554" w:type="dxa"/>
            <w:shd w:val="clear" w:color="auto" w:fill="auto"/>
            <w:vAlign w:val="center"/>
          </w:tcPr>
          <w:p w14:paraId="19FFC164" w14:textId="0F6B6FB3" w:rsidR="004A4753" w:rsidRPr="00D96D0B" w:rsidRDefault="004A4753" w:rsidP="004A4753">
            <w:pPr>
              <w:jc w:val="center"/>
              <w:rPr>
                <w:rFonts w:cstheme="minorHAnsi"/>
                <w:sz w:val="18"/>
                <w:szCs w:val="18"/>
              </w:rPr>
            </w:pPr>
            <w:r w:rsidRPr="00D96D0B">
              <w:rPr>
                <w:rFonts w:cstheme="minorHAnsi"/>
                <w:sz w:val="18"/>
                <w:szCs w:val="18"/>
              </w:rPr>
              <w:t>PREOPERATIVE</w:t>
            </w:r>
          </w:p>
        </w:tc>
        <w:tc>
          <w:tcPr>
            <w:tcW w:w="1735" w:type="dxa"/>
            <w:shd w:val="clear" w:color="auto" w:fill="auto"/>
            <w:vAlign w:val="center"/>
          </w:tcPr>
          <w:p w14:paraId="03AAEB27" w14:textId="689FD8C3" w:rsidR="004A4753" w:rsidRPr="00D96D0B" w:rsidRDefault="004A4753" w:rsidP="004A4753">
            <w:pPr>
              <w:jc w:val="center"/>
              <w:rPr>
                <w:rFonts w:cstheme="minorHAnsi"/>
                <w:sz w:val="18"/>
                <w:szCs w:val="18"/>
              </w:rPr>
            </w:pPr>
            <w:r w:rsidRPr="00D96D0B">
              <w:rPr>
                <w:rFonts w:cstheme="minorHAnsi"/>
                <w:sz w:val="18"/>
                <w:szCs w:val="18"/>
              </w:rPr>
              <w:t>INTRAOPERATIVE</w:t>
            </w:r>
          </w:p>
        </w:tc>
        <w:tc>
          <w:tcPr>
            <w:tcW w:w="1558" w:type="dxa"/>
            <w:shd w:val="clear" w:color="auto" w:fill="auto"/>
            <w:vAlign w:val="center"/>
          </w:tcPr>
          <w:p w14:paraId="4F0BF821" w14:textId="76E12EDC" w:rsidR="004A4753" w:rsidRPr="00D96D0B" w:rsidRDefault="004A4753" w:rsidP="004A4753">
            <w:pPr>
              <w:jc w:val="center"/>
              <w:rPr>
                <w:rFonts w:cstheme="minorHAnsi"/>
                <w:sz w:val="18"/>
                <w:szCs w:val="18"/>
              </w:rPr>
            </w:pPr>
            <w:r w:rsidRPr="00D96D0B">
              <w:rPr>
                <w:rFonts w:cstheme="minorHAnsi"/>
                <w:sz w:val="18"/>
                <w:szCs w:val="18"/>
              </w:rPr>
              <w:t>POSTOPERATIVE</w:t>
            </w:r>
          </w:p>
        </w:tc>
        <w:tc>
          <w:tcPr>
            <w:tcW w:w="3425" w:type="dxa"/>
            <w:shd w:val="clear" w:color="auto" w:fill="F2F2F2" w:themeFill="background1" w:themeFillShade="F2"/>
            <w:vAlign w:val="center"/>
          </w:tcPr>
          <w:p w14:paraId="193AF656" w14:textId="0DB80C0C" w:rsidR="004A4753" w:rsidRPr="00D96D0B" w:rsidRDefault="004A4753" w:rsidP="004A4753">
            <w:pPr>
              <w:jc w:val="center"/>
              <w:rPr>
                <w:rFonts w:cstheme="minorHAnsi"/>
                <w:sz w:val="18"/>
                <w:szCs w:val="18"/>
              </w:rPr>
            </w:pPr>
            <w:r w:rsidRPr="00D96D0B">
              <w:rPr>
                <w:rFonts w:cstheme="minorHAnsi"/>
                <w:sz w:val="18"/>
                <w:szCs w:val="18"/>
              </w:rPr>
              <w:t>STUDY AUTHORS</w:t>
            </w:r>
          </w:p>
        </w:tc>
      </w:tr>
      <w:tr w:rsidR="004A4753" w:rsidRPr="002E3994" w14:paraId="00F31E2A" w14:textId="77777777" w:rsidTr="004C6F29">
        <w:trPr>
          <w:cantSplit/>
          <w:trHeight w:val="227"/>
        </w:trPr>
        <w:tc>
          <w:tcPr>
            <w:tcW w:w="1793" w:type="dxa"/>
            <w:vMerge w:val="restart"/>
            <w:shd w:val="clear" w:color="auto" w:fill="auto"/>
            <w:vAlign w:val="center"/>
          </w:tcPr>
          <w:p w14:paraId="24611D53" w14:textId="4154BFDE" w:rsidR="004A4753" w:rsidRPr="00D96D0B" w:rsidRDefault="004A4753" w:rsidP="004A4753">
            <w:pPr>
              <w:rPr>
                <w:rFonts w:cstheme="minorHAnsi"/>
                <w:sz w:val="18"/>
                <w:szCs w:val="18"/>
              </w:rPr>
            </w:pPr>
            <w:proofErr w:type="spellStart"/>
            <w:r w:rsidRPr="00D96D0B">
              <w:rPr>
                <w:rFonts w:cstheme="minorHAnsi"/>
                <w:sz w:val="18"/>
                <w:szCs w:val="18"/>
              </w:rPr>
              <w:t>Demographics</w:t>
            </w:r>
            <w:proofErr w:type="spellEnd"/>
          </w:p>
        </w:tc>
        <w:tc>
          <w:tcPr>
            <w:tcW w:w="4847" w:type="dxa"/>
            <w:gridSpan w:val="3"/>
            <w:shd w:val="clear" w:color="auto" w:fill="auto"/>
            <w:vAlign w:val="center"/>
          </w:tcPr>
          <w:p w14:paraId="3CAEB0D3" w14:textId="0BD9B670" w:rsidR="004A4753" w:rsidRPr="00D96D0B" w:rsidRDefault="004A4753" w:rsidP="004A4753">
            <w:pPr>
              <w:jc w:val="center"/>
              <w:rPr>
                <w:rFonts w:cstheme="minorHAnsi"/>
                <w:sz w:val="18"/>
                <w:szCs w:val="18"/>
              </w:rPr>
            </w:pPr>
            <w:r w:rsidRPr="00D96D0B">
              <w:rPr>
                <w:rFonts w:cstheme="minorHAnsi"/>
                <w:sz w:val="18"/>
                <w:szCs w:val="18"/>
              </w:rPr>
              <w:t>Gender Male</w:t>
            </w:r>
          </w:p>
        </w:tc>
        <w:tc>
          <w:tcPr>
            <w:tcW w:w="3425" w:type="dxa"/>
            <w:shd w:val="clear" w:color="auto" w:fill="F2F2F2" w:themeFill="background1" w:themeFillShade="F2"/>
            <w:vAlign w:val="center"/>
          </w:tcPr>
          <w:p w14:paraId="14C266EC" w14:textId="2E83B19B" w:rsidR="004A4753" w:rsidRPr="00D96D0B" w:rsidRDefault="004A4753" w:rsidP="004A4753">
            <w:pPr>
              <w:jc w:val="center"/>
              <w:rPr>
                <w:rFonts w:cstheme="minorHAnsi"/>
                <w:sz w:val="18"/>
                <w:szCs w:val="18"/>
                <w:lang w:val="en-US"/>
              </w:rPr>
            </w:pPr>
            <w:r w:rsidRPr="00D96D0B">
              <w:rPr>
                <w:rFonts w:cs="Calibri"/>
                <w:sz w:val="18"/>
                <w:szCs w:val="18"/>
                <w:lang w:val="en-US"/>
              </w:rPr>
              <w:t>(Bischoff et al, 2023; Baier et al, 2019; Ko et al, 2021; Sodhi et al, 2020)</w:t>
            </w:r>
          </w:p>
        </w:tc>
      </w:tr>
      <w:tr w:rsidR="004A4753" w:rsidRPr="00D96D0B" w14:paraId="6F0CF8BA" w14:textId="77777777" w:rsidTr="004C6F29">
        <w:trPr>
          <w:cantSplit/>
          <w:trHeight w:val="20"/>
        </w:trPr>
        <w:tc>
          <w:tcPr>
            <w:tcW w:w="1793" w:type="dxa"/>
            <w:vMerge/>
            <w:shd w:val="clear" w:color="auto" w:fill="auto"/>
            <w:vAlign w:val="center"/>
          </w:tcPr>
          <w:p w14:paraId="09D8EE1A" w14:textId="77777777" w:rsidR="004A4753" w:rsidRPr="00D96D0B" w:rsidRDefault="004A4753" w:rsidP="004A4753">
            <w:pPr>
              <w:rPr>
                <w:rFonts w:cstheme="minorHAnsi"/>
                <w:sz w:val="18"/>
                <w:szCs w:val="18"/>
                <w:lang w:val="en-US"/>
              </w:rPr>
            </w:pPr>
          </w:p>
        </w:tc>
        <w:tc>
          <w:tcPr>
            <w:tcW w:w="4847" w:type="dxa"/>
            <w:gridSpan w:val="3"/>
            <w:shd w:val="clear" w:color="auto" w:fill="auto"/>
            <w:vAlign w:val="center"/>
          </w:tcPr>
          <w:p w14:paraId="623321CD" w14:textId="70FCB963" w:rsidR="004A4753" w:rsidRPr="00D96D0B" w:rsidRDefault="004A4753" w:rsidP="004A4753">
            <w:pPr>
              <w:jc w:val="center"/>
              <w:rPr>
                <w:rFonts w:cstheme="minorHAnsi"/>
                <w:sz w:val="18"/>
                <w:szCs w:val="18"/>
              </w:rPr>
            </w:pPr>
            <w:r w:rsidRPr="00D96D0B">
              <w:rPr>
                <w:rFonts w:cstheme="minorHAnsi"/>
                <w:sz w:val="18"/>
                <w:szCs w:val="18"/>
              </w:rPr>
              <w:t xml:space="preserve">Age ≥ 80 </w:t>
            </w:r>
            <w:proofErr w:type="spellStart"/>
            <w:r w:rsidRPr="00D96D0B">
              <w:rPr>
                <w:rFonts w:cstheme="minorHAnsi"/>
                <w:sz w:val="18"/>
                <w:szCs w:val="18"/>
              </w:rPr>
              <w:t>years</w:t>
            </w:r>
            <w:proofErr w:type="spellEnd"/>
          </w:p>
        </w:tc>
        <w:tc>
          <w:tcPr>
            <w:tcW w:w="3425" w:type="dxa"/>
            <w:shd w:val="clear" w:color="auto" w:fill="F2F2F2" w:themeFill="background1" w:themeFillShade="F2"/>
            <w:vAlign w:val="center"/>
          </w:tcPr>
          <w:p w14:paraId="5EA4B051" w14:textId="09B609F1" w:rsidR="004A4753" w:rsidRPr="00D96D0B" w:rsidRDefault="004A4753" w:rsidP="004A4753">
            <w:pPr>
              <w:jc w:val="center"/>
              <w:rPr>
                <w:rFonts w:cstheme="minorHAnsi"/>
                <w:sz w:val="18"/>
                <w:szCs w:val="18"/>
              </w:rPr>
            </w:pPr>
            <w:r w:rsidRPr="00D96D0B">
              <w:rPr>
                <w:rFonts w:cs="Calibri"/>
                <w:sz w:val="18"/>
                <w:szCs w:val="18"/>
                <w:lang w:val="en-US"/>
              </w:rPr>
              <w:t>(Bischoff et al, 2023)</w:t>
            </w:r>
          </w:p>
        </w:tc>
      </w:tr>
      <w:tr w:rsidR="004A4753" w:rsidRPr="00D96D0B" w14:paraId="7B33D9D8" w14:textId="77777777" w:rsidTr="004C6F29">
        <w:trPr>
          <w:cantSplit/>
          <w:trHeight w:val="344"/>
        </w:trPr>
        <w:tc>
          <w:tcPr>
            <w:tcW w:w="1793" w:type="dxa"/>
            <w:shd w:val="clear" w:color="auto" w:fill="auto"/>
          </w:tcPr>
          <w:p w14:paraId="5FAEE796" w14:textId="3A9CCBB5" w:rsidR="004A4753" w:rsidRPr="00D96D0B" w:rsidRDefault="004A4753" w:rsidP="004A4753">
            <w:pPr>
              <w:jc w:val="both"/>
              <w:rPr>
                <w:rFonts w:cstheme="minorHAnsi"/>
                <w:sz w:val="18"/>
                <w:szCs w:val="18"/>
                <w:lang w:val="en-US"/>
              </w:rPr>
            </w:pPr>
            <w:r w:rsidRPr="00D96D0B">
              <w:rPr>
                <w:rFonts w:cstheme="minorHAnsi"/>
                <w:sz w:val="18"/>
                <w:szCs w:val="18"/>
                <w:shd w:val="clear" w:color="auto" w:fill="FFFFFF"/>
                <w:lang w:val="en-US"/>
              </w:rPr>
              <w:t>American Society of Anesthesiology (ASA) Classification</w:t>
            </w:r>
          </w:p>
        </w:tc>
        <w:tc>
          <w:tcPr>
            <w:tcW w:w="1554" w:type="dxa"/>
            <w:shd w:val="clear" w:color="auto" w:fill="auto"/>
            <w:vAlign w:val="bottom"/>
          </w:tcPr>
          <w:p w14:paraId="53F7549C" w14:textId="77777777" w:rsidR="004A4753" w:rsidRPr="00D96D0B" w:rsidRDefault="004A4753" w:rsidP="004A4753">
            <w:pPr>
              <w:spacing w:after="200"/>
              <w:jc w:val="center"/>
              <w:rPr>
                <w:rFonts w:cstheme="minorHAnsi"/>
                <w:sz w:val="18"/>
                <w:szCs w:val="18"/>
              </w:rPr>
            </w:pPr>
            <w:r w:rsidRPr="00D96D0B">
              <w:rPr>
                <w:rFonts w:cstheme="minorHAnsi"/>
                <w:sz w:val="18"/>
                <w:szCs w:val="18"/>
              </w:rPr>
              <w:t>&gt;ASA II</w:t>
            </w:r>
          </w:p>
        </w:tc>
        <w:tc>
          <w:tcPr>
            <w:tcW w:w="3293" w:type="dxa"/>
            <w:gridSpan w:val="2"/>
            <w:shd w:val="clear" w:color="auto" w:fill="F2F2F2" w:themeFill="background1" w:themeFillShade="F2"/>
            <w:vAlign w:val="center"/>
          </w:tcPr>
          <w:p w14:paraId="5275CCD2" w14:textId="77777777" w:rsidR="004A4753" w:rsidRPr="00D96D0B" w:rsidRDefault="004A4753" w:rsidP="004A4753">
            <w:pPr>
              <w:jc w:val="center"/>
              <w:rPr>
                <w:rFonts w:cstheme="minorHAnsi"/>
                <w:sz w:val="18"/>
                <w:szCs w:val="18"/>
              </w:rPr>
            </w:pPr>
          </w:p>
        </w:tc>
        <w:tc>
          <w:tcPr>
            <w:tcW w:w="3425" w:type="dxa"/>
            <w:shd w:val="clear" w:color="auto" w:fill="F2F2F2" w:themeFill="background1" w:themeFillShade="F2"/>
          </w:tcPr>
          <w:p w14:paraId="0C3F8090" w14:textId="532560F6" w:rsidR="004A4753" w:rsidRPr="00D96D0B" w:rsidRDefault="004A4753" w:rsidP="004A4753">
            <w:pPr>
              <w:jc w:val="center"/>
              <w:rPr>
                <w:rFonts w:cstheme="minorHAnsi"/>
                <w:sz w:val="18"/>
                <w:szCs w:val="18"/>
              </w:rPr>
            </w:pPr>
            <w:r w:rsidRPr="00D96D0B">
              <w:rPr>
                <w:rFonts w:cs="Calibri"/>
                <w:sz w:val="18"/>
                <w:szCs w:val="18"/>
                <w:lang w:val="en-US"/>
              </w:rPr>
              <w:t>(Bischoff et al, 2023)</w:t>
            </w:r>
          </w:p>
        </w:tc>
      </w:tr>
      <w:tr w:rsidR="004A4753" w:rsidRPr="00D96D0B" w14:paraId="04EDDA6F" w14:textId="77777777" w:rsidTr="004C6F29">
        <w:trPr>
          <w:cantSplit/>
          <w:trHeight w:val="274"/>
        </w:trPr>
        <w:tc>
          <w:tcPr>
            <w:tcW w:w="1793" w:type="dxa"/>
            <w:shd w:val="clear" w:color="auto" w:fill="auto"/>
            <w:vAlign w:val="center"/>
          </w:tcPr>
          <w:p w14:paraId="0F3922E4" w14:textId="46968BFA" w:rsidR="004A4753" w:rsidRPr="00D96D0B" w:rsidRDefault="004A4753" w:rsidP="004A4753">
            <w:pPr>
              <w:rPr>
                <w:rFonts w:cstheme="minorHAnsi"/>
                <w:sz w:val="18"/>
                <w:szCs w:val="18"/>
              </w:rPr>
            </w:pPr>
            <w:proofErr w:type="spellStart"/>
            <w:r w:rsidRPr="00D96D0B">
              <w:rPr>
                <w:rFonts w:cstheme="minorHAnsi"/>
                <w:sz w:val="18"/>
                <w:szCs w:val="18"/>
              </w:rPr>
              <w:t>Pain</w:t>
            </w:r>
            <w:proofErr w:type="spellEnd"/>
            <w:r w:rsidRPr="00D96D0B">
              <w:rPr>
                <w:rFonts w:cstheme="minorHAnsi"/>
                <w:sz w:val="18"/>
                <w:szCs w:val="18"/>
              </w:rPr>
              <w:t xml:space="preserve"> </w:t>
            </w:r>
            <w:proofErr w:type="spellStart"/>
            <w:r w:rsidRPr="00D96D0B">
              <w:rPr>
                <w:rFonts w:cstheme="minorHAnsi"/>
                <w:sz w:val="18"/>
                <w:szCs w:val="18"/>
              </w:rPr>
              <w:t>Sensitivity</w:t>
            </w:r>
            <w:proofErr w:type="spellEnd"/>
          </w:p>
        </w:tc>
        <w:tc>
          <w:tcPr>
            <w:tcW w:w="4847" w:type="dxa"/>
            <w:gridSpan w:val="3"/>
            <w:shd w:val="clear" w:color="auto" w:fill="auto"/>
            <w:vAlign w:val="center"/>
          </w:tcPr>
          <w:p w14:paraId="1DFC3C34" w14:textId="57DF59B7" w:rsidR="004A4753" w:rsidRPr="00D96D0B" w:rsidRDefault="004A4753" w:rsidP="004A4753">
            <w:pPr>
              <w:jc w:val="center"/>
              <w:rPr>
                <w:rFonts w:cstheme="minorHAnsi"/>
                <w:sz w:val="18"/>
                <w:szCs w:val="18"/>
              </w:rPr>
            </w:pPr>
            <w:proofErr w:type="spellStart"/>
            <w:r w:rsidRPr="00D96D0B">
              <w:rPr>
                <w:rFonts w:cstheme="minorHAnsi"/>
                <w:sz w:val="18"/>
                <w:szCs w:val="18"/>
              </w:rPr>
              <w:t>Increased</w:t>
            </w:r>
            <w:proofErr w:type="spellEnd"/>
            <w:r w:rsidRPr="00D96D0B">
              <w:rPr>
                <w:rFonts w:cstheme="minorHAnsi"/>
                <w:sz w:val="18"/>
                <w:szCs w:val="18"/>
              </w:rPr>
              <w:t xml:space="preserve"> central </w:t>
            </w:r>
            <w:proofErr w:type="spellStart"/>
            <w:r w:rsidRPr="00D96D0B">
              <w:rPr>
                <w:rFonts w:cstheme="minorHAnsi"/>
                <w:sz w:val="18"/>
                <w:szCs w:val="18"/>
              </w:rPr>
              <w:t>sensitization</w:t>
            </w:r>
            <w:proofErr w:type="spellEnd"/>
          </w:p>
        </w:tc>
        <w:tc>
          <w:tcPr>
            <w:tcW w:w="3425" w:type="dxa"/>
            <w:shd w:val="clear" w:color="auto" w:fill="F2F2F2" w:themeFill="background1" w:themeFillShade="F2"/>
            <w:vAlign w:val="center"/>
          </w:tcPr>
          <w:p w14:paraId="709E5348" w14:textId="28CF993C" w:rsidR="004A4753" w:rsidRPr="00D96D0B" w:rsidRDefault="004A4753" w:rsidP="004A4753">
            <w:pPr>
              <w:jc w:val="center"/>
              <w:rPr>
                <w:rFonts w:cstheme="minorHAnsi"/>
                <w:sz w:val="18"/>
                <w:szCs w:val="18"/>
              </w:rPr>
            </w:pPr>
            <w:r w:rsidRPr="00D96D0B">
              <w:rPr>
                <w:rFonts w:cs="Calibri"/>
                <w:sz w:val="18"/>
                <w:szCs w:val="18"/>
                <w:lang w:val="en-US"/>
              </w:rPr>
              <w:t>(Kim et al, 2018)</w:t>
            </w:r>
          </w:p>
        </w:tc>
      </w:tr>
      <w:tr w:rsidR="004A4753" w:rsidRPr="00D96D0B" w14:paraId="733D402B" w14:textId="77777777" w:rsidTr="004C6F29">
        <w:trPr>
          <w:cantSplit/>
          <w:trHeight w:val="299"/>
        </w:trPr>
        <w:tc>
          <w:tcPr>
            <w:tcW w:w="1793" w:type="dxa"/>
            <w:shd w:val="clear" w:color="auto" w:fill="auto"/>
            <w:vAlign w:val="center"/>
          </w:tcPr>
          <w:p w14:paraId="33E18FBE" w14:textId="0A127F53" w:rsidR="004A4753" w:rsidRPr="00D96D0B" w:rsidRDefault="004A4753" w:rsidP="004A4753">
            <w:pPr>
              <w:rPr>
                <w:rFonts w:cstheme="minorHAnsi"/>
                <w:sz w:val="18"/>
                <w:szCs w:val="18"/>
              </w:rPr>
            </w:pPr>
            <w:proofErr w:type="spellStart"/>
            <w:r w:rsidRPr="00D96D0B">
              <w:rPr>
                <w:rFonts w:cstheme="minorHAnsi"/>
                <w:sz w:val="18"/>
                <w:szCs w:val="18"/>
              </w:rPr>
              <w:t>Economics</w:t>
            </w:r>
            <w:proofErr w:type="spellEnd"/>
          </w:p>
        </w:tc>
        <w:tc>
          <w:tcPr>
            <w:tcW w:w="4847" w:type="dxa"/>
            <w:gridSpan w:val="3"/>
            <w:shd w:val="clear" w:color="auto" w:fill="auto"/>
            <w:vAlign w:val="center"/>
          </w:tcPr>
          <w:p w14:paraId="6F54476F" w14:textId="05EC85B3" w:rsidR="004A4753" w:rsidRPr="00D96D0B" w:rsidRDefault="004A4753" w:rsidP="004A4753">
            <w:pPr>
              <w:jc w:val="center"/>
              <w:rPr>
                <w:rFonts w:cstheme="minorHAnsi"/>
                <w:sz w:val="18"/>
                <w:szCs w:val="18"/>
                <w:lang w:val="en-US"/>
              </w:rPr>
            </w:pPr>
            <w:r w:rsidRPr="00D96D0B">
              <w:rPr>
                <w:rFonts w:cstheme="minorHAnsi"/>
                <w:sz w:val="18"/>
                <w:szCs w:val="18"/>
                <w:lang w:val="en-US"/>
              </w:rPr>
              <w:t>Countries with low socioeconomic development</w:t>
            </w:r>
          </w:p>
        </w:tc>
        <w:tc>
          <w:tcPr>
            <w:tcW w:w="3425" w:type="dxa"/>
            <w:shd w:val="clear" w:color="auto" w:fill="F2F2F2" w:themeFill="background1" w:themeFillShade="F2"/>
            <w:vAlign w:val="center"/>
          </w:tcPr>
          <w:p w14:paraId="0F455E3F" w14:textId="71B38B5F" w:rsidR="004A4753" w:rsidRPr="00D96D0B" w:rsidRDefault="004A4753" w:rsidP="004A4753">
            <w:pPr>
              <w:jc w:val="center"/>
              <w:rPr>
                <w:rFonts w:cstheme="minorHAnsi"/>
                <w:sz w:val="18"/>
                <w:szCs w:val="18"/>
              </w:rPr>
            </w:pPr>
            <w:r w:rsidRPr="00D96D0B">
              <w:rPr>
                <w:rFonts w:cs="Calibri"/>
                <w:sz w:val="18"/>
                <w:szCs w:val="18"/>
                <w:lang w:val="en-US"/>
              </w:rPr>
              <w:t>(Marusic et al, 2021)</w:t>
            </w:r>
          </w:p>
        </w:tc>
      </w:tr>
      <w:tr w:rsidR="004A4753" w:rsidRPr="00D96D0B" w14:paraId="6783D938" w14:textId="77777777" w:rsidTr="004C6F29">
        <w:trPr>
          <w:cantSplit/>
          <w:trHeight w:val="20"/>
        </w:trPr>
        <w:tc>
          <w:tcPr>
            <w:tcW w:w="1793" w:type="dxa"/>
            <w:shd w:val="clear" w:color="auto" w:fill="auto"/>
            <w:vAlign w:val="center"/>
          </w:tcPr>
          <w:p w14:paraId="0FD3B50C" w14:textId="6C21C30A" w:rsidR="004A4753" w:rsidRPr="00D96D0B" w:rsidRDefault="004A4753" w:rsidP="004A4753">
            <w:pPr>
              <w:rPr>
                <w:rFonts w:cstheme="minorHAnsi"/>
                <w:sz w:val="18"/>
                <w:szCs w:val="18"/>
              </w:rPr>
            </w:pPr>
            <w:proofErr w:type="spellStart"/>
            <w:r w:rsidRPr="00D96D0B">
              <w:rPr>
                <w:rFonts w:cstheme="minorHAnsi"/>
                <w:sz w:val="18"/>
                <w:szCs w:val="18"/>
              </w:rPr>
              <w:t>Analytical</w:t>
            </w:r>
            <w:proofErr w:type="spellEnd"/>
          </w:p>
        </w:tc>
        <w:tc>
          <w:tcPr>
            <w:tcW w:w="4847" w:type="dxa"/>
            <w:gridSpan w:val="3"/>
            <w:shd w:val="clear" w:color="auto" w:fill="auto"/>
            <w:vAlign w:val="center"/>
          </w:tcPr>
          <w:p w14:paraId="47D557EA" w14:textId="2947674C" w:rsidR="004A4753" w:rsidRPr="00D96D0B" w:rsidRDefault="004A4753" w:rsidP="004A4753">
            <w:pPr>
              <w:jc w:val="center"/>
              <w:rPr>
                <w:rFonts w:cstheme="minorHAnsi"/>
                <w:sz w:val="18"/>
                <w:szCs w:val="18"/>
              </w:rPr>
            </w:pPr>
            <w:proofErr w:type="spellStart"/>
            <w:r w:rsidRPr="00D96D0B">
              <w:rPr>
                <w:rFonts w:cstheme="minorHAnsi"/>
                <w:sz w:val="18"/>
                <w:szCs w:val="18"/>
              </w:rPr>
              <w:t>Serum</w:t>
            </w:r>
            <w:proofErr w:type="spellEnd"/>
            <w:r w:rsidRPr="00D96D0B">
              <w:rPr>
                <w:rFonts w:cstheme="minorHAnsi"/>
                <w:sz w:val="18"/>
                <w:szCs w:val="18"/>
              </w:rPr>
              <w:t xml:space="preserve"> </w:t>
            </w:r>
            <w:proofErr w:type="spellStart"/>
            <w:r w:rsidRPr="00D96D0B">
              <w:rPr>
                <w:rFonts w:cstheme="minorHAnsi"/>
                <w:sz w:val="18"/>
                <w:szCs w:val="18"/>
              </w:rPr>
              <w:t>neutrophilia</w:t>
            </w:r>
            <w:proofErr w:type="spellEnd"/>
          </w:p>
        </w:tc>
        <w:tc>
          <w:tcPr>
            <w:tcW w:w="3425" w:type="dxa"/>
            <w:shd w:val="clear" w:color="auto" w:fill="F2F2F2" w:themeFill="background1" w:themeFillShade="F2"/>
            <w:vAlign w:val="center"/>
          </w:tcPr>
          <w:p w14:paraId="5E9A7B95" w14:textId="71549DD9" w:rsidR="004A4753" w:rsidRPr="00D96D0B" w:rsidRDefault="004A4753" w:rsidP="004A4753">
            <w:pPr>
              <w:jc w:val="center"/>
              <w:rPr>
                <w:rFonts w:cstheme="minorHAnsi"/>
                <w:sz w:val="18"/>
                <w:szCs w:val="18"/>
              </w:rPr>
            </w:pPr>
            <w:r w:rsidRPr="00D96D0B">
              <w:rPr>
                <w:rFonts w:cs="Calibri"/>
                <w:sz w:val="18"/>
                <w:szCs w:val="18"/>
                <w:lang w:val="en-US"/>
              </w:rPr>
              <w:t>(</w:t>
            </w:r>
            <w:proofErr w:type="spellStart"/>
            <w:r w:rsidRPr="00D96D0B">
              <w:rPr>
                <w:rFonts w:cs="Calibri"/>
                <w:sz w:val="18"/>
                <w:szCs w:val="18"/>
                <w:lang w:val="en-US"/>
              </w:rPr>
              <w:t>Almustafa</w:t>
            </w:r>
            <w:proofErr w:type="spellEnd"/>
            <w:r w:rsidRPr="00D96D0B">
              <w:rPr>
                <w:rFonts w:cs="Calibri"/>
                <w:sz w:val="18"/>
                <w:szCs w:val="18"/>
                <w:lang w:val="en-US"/>
              </w:rPr>
              <w:t xml:space="preserve"> et al, 2018)</w:t>
            </w:r>
          </w:p>
        </w:tc>
      </w:tr>
      <w:tr w:rsidR="004A4753" w:rsidRPr="00D96D0B" w14:paraId="40796CB8" w14:textId="77777777" w:rsidTr="004C6F29">
        <w:trPr>
          <w:cantSplit/>
          <w:trHeight w:val="267"/>
        </w:trPr>
        <w:tc>
          <w:tcPr>
            <w:tcW w:w="1793" w:type="dxa"/>
            <w:vMerge w:val="restart"/>
            <w:shd w:val="clear" w:color="auto" w:fill="auto"/>
            <w:vAlign w:val="center"/>
          </w:tcPr>
          <w:p w14:paraId="48312E3B" w14:textId="11554534" w:rsidR="004A4753" w:rsidRPr="00D96D0B" w:rsidRDefault="004A4753" w:rsidP="004A4753">
            <w:pPr>
              <w:rPr>
                <w:rFonts w:cstheme="minorHAnsi"/>
                <w:sz w:val="18"/>
                <w:szCs w:val="18"/>
              </w:rPr>
            </w:pPr>
            <w:proofErr w:type="spellStart"/>
            <w:r w:rsidRPr="00D96D0B">
              <w:rPr>
                <w:rFonts w:cstheme="minorHAnsi"/>
                <w:sz w:val="18"/>
                <w:szCs w:val="18"/>
              </w:rPr>
              <w:t>Comorbidities</w:t>
            </w:r>
            <w:proofErr w:type="spellEnd"/>
          </w:p>
        </w:tc>
        <w:tc>
          <w:tcPr>
            <w:tcW w:w="4847" w:type="dxa"/>
            <w:gridSpan w:val="3"/>
            <w:shd w:val="clear" w:color="auto" w:fill="auto"/>
            <w:vAlign w:val="center"/>
          </w:tcPr>
          <w:p w14:paraId="21C77510" w14:textId="139A95AF" w:rsidR="004A4753" w:rsidRPr="00D96D0B" w:rsidRDefault="004A4753" w:rsidP="004A4753">
            <w:pPr>
              <w:jc w:val="center"/>
              <w:rPr>
                <w:rFonts w:cstheme="minorHAnsi"/>
                <w:sz w:val="18"/>
                <w:szCs w:val="18"/>
              </w:rPr>
            </w:pPr>
            <w:proofErr w:type="spellStart"/>
            <w:r w:rsidRPr="00D96D0B">
              <w:rPr>
                <w:rFonts w:cstheme="minorHAnsi"/>
                <w:sz w:val="18"/>
                <w:szCs w:val="18"/>
              </w:rPr>
              <w:t>Rheumatoid</w:t>
            </w:r>
            <w:proofErr w:type="spellEnd"/>
            <w:r w:rsidRPr="00D96D0B">
              <w:rPr>
                <w:rFonts w:cstheme="minorHAnsi"/>
                <w:sz w:val="18"/>
                <w:szCs w:val="18"/>
              </w:rPr>
              <w:t xml:space="preserve"> </w:t>
            </w:r>
            <w:proofErr w:type="spellStart"/>
            <w:r w:rsidRPr="00D96D0B">
              <w:rPr>
                <w:rFonts w:cstheme="minorHAnsi"/>
                <w:sz w:val="18"/>
                <w:szCs w:val="18"/>
              </w:rPr>
              <w:t>arthritis</w:t>
            </w:r>
            <w:proofErr w:type="spellEnd"/>
          </w:p>
        </w:tc>
        <w:tc>
          <w:tcPr>
            <w:tcW w:w="3425" w:type="dxa"/>
            <w:shd w:val="clear" w:color="auto" w:fill="F2F2F2" w:themeFill="background1" w:themeFillShade="F2"/>
            <w:vAlign w:val="center"/>
          </w:tcPr>
          <w:p w14:paraId="7BE2A24D" w14:textId="5DBB3228" w:rsidR="004A4753" w:rsidRPr="00D96D0B" w:rsidRDefault="004A4753" w:rsidP="004A4753">
            <w:pPr>
              <w:jc w:val="center"/>
              <w:rPr>
                <w:rFonts w:cstheme="minorHAnsi"/>
                <w:sz w:val="18"/>
                <w:szCs w:val="18"/>
              </w:rPr>
            </w:pPr>
            <w:r w:rsidRPr="00D96D0B">
              <w:rPr>
                <w:rFonts w:cs="Calibri"/>
                <w:sz w:val="18"/>
                <w:szCs w:val="18"/>
                <w:lang w:val="en-US"/>
              </w:rPr>
              <w:t>(Sodhi et al, 2020)</w:t>
            </w:r>
          </w:p>
        </w:tc>
      </w:tr>
      <w:tr w:rsidR="004A4753" w:rsidRPr="00D96D0B" w14:paraId="65C96AB4" w14:textId="77777777" w:rsidTr="004C6F29">
        <w:trPr>
          <w:cantSplit/>
          <w:trHeight w:val="174"/>
        </w:trPr>
        <w:tc>
          <w:tcPr>
            <w:tcW w:w="1793" w:type="dxa"/>
            <w:vMerge/>
            <w:shd w:val="clear" w:color="auto" w:fill="auto"/>
            <w:vAlign w:val="center"/>
          </w:tcPr>
          <w:p w14:paraId="0D4C955B" w14:textId="77777777" w:rsidR="004A4753" w:rsidRPr="00D96D0B" w:rsidRDefault="004A4753" w:rsidP="004A4753">
            <w:pPr>
              <w:rPr>
                <w:rFonts w:cstheme="minorHAnsi"/>
                <w:sz w:val="18"/>
                <w:szCs w:val="18"/>
              </w:rPr>
            </w:pPr>
          </w:p>
        </w:tc>
        <w:tc>
          <w:tcPr>
            <w:tcW w:w="4847" w:type="dxa"/>
            <w:gridSpan w:val="3"/>
            <w:shd w:val="clear" w:color="auto" w:fill="auto"/>
            <w:vAlign w:val="center"/>
          </w:tcPr>
          <w:p w14:paraId="4E0A749D" w14:textId="3F9852C8" w:rsidR="004A4753" w:rsidRPr="00D96D0B" w:rsidRDefault="004A4753" w:rsidP="004A4753">
            <w:pPr>
              <w:jc w:val="center"/>
              <w:rPr>
                <w:rFonts w:cstheme="minorHAnsi"/>
                <w:sz w:val="18"/>
                <w:szCs w:val="18"/>
              </w:rPr>
            </w:pPr>
            <w:proofErr w:type="spellStart"/>
            <w:r w:rsidRPr="00D96D0B">
              <w:rPr>
                <w:rFonts w:cstheme="minorHAnsi"/>
                <w:sz w:val="18"/>
                <w:szCs w:val="18"/>
              </w:rPr>
              <w:t>Musculoskeletal</w:t>
            </w:r>
            <w:proofErr w:type="spellEnd"/>
            <w:r w:rsidRPr="00D96D0B">
              <w:rPr>
                <w:rFonts w:cstheme="minorHAnsi"/>
                <w:sz w:val="18"/>
                <w:szCs w:val="18"/>
              </w:rPr>
              <w:t xml:space="preserve"> </w:t>
            </w:r>
            <w:proofErr w:type="spellStart"/>
            <w:r w:rsidRPr="00D96D0B">
              <w:rPr>
                <w:rFonts w:cstheme="minorHAnsi"/>
                <w:sz w:val="18"/>
                <w:szCs w:val="18"/>
              </w:rPr>
              <w:t>dysplasia</w:t>
            </w:r>
            <w:proofErr w:type="spellEnd"/>
          </w:p>
        </w:tc>
        <w:tc>
          <w:tcPr>
            <w:tcW w:w="3425" w:type="dxa"/>
            <w:shd w:val="clear" w:color="auto" w:fill="F2F2F2" w:themeFill="background1" w:themeFillShade="F2"/>
            <w:vAlign w:val="center"/>
          </w:tcPr>
          <w:p w14:paraId="0228797D" w14:textId="06A8DB13" w:rsidR="004A4753" w:rsidRPr="00D96D0B" w:rsidRDefault="004A4753" w:rsidP="004A4753">
            <w:pPr>
              <w:jc w:val="center"/>
              <w:rPr>
                <w:rFonts w:cstheme="minorHAnsi"/>
                <w:sz w:val="18"/>
                <w:szCs w:val="18"/>
              </w:rPr>
            </w:pPr>
            <w:r w:rsidRPr="00D96D0B">
              <w:rPr>
                <w:rFonts w:cs="Calibri"/>
                <w:sz w:val="18"/>
                <w:szCs w:val="18"/>
                <w:lang w:val="en-US"/>
              </w:rPr>
              <w:t>(Patel et al, 2019)</w:t>
            </w:r>
          </w:p>
        </w:tc>
      </w:tr>
      <w:tr w:rsidR="004A4753" w:rsidRPr="00D96D0B" w14:paraId="106F9AE8" w14:textId="77777777" w:rsidTr="004C6F29">
        <w:trPr>
          <w:cantSplit/>
          <w:trHeight w:val="278"/>
        </w:trPr>
        <w:tc>
          <w:tcPr>
            <w:tcW w:w="1793" w:type="dxa"/>
            <w:vMerge/>
            <w:shd w:val="clear" w:color="auto" w:fill="auto"/>
            <w:vAlign w:val="center"/>
          </w:tcPr>
          <w:p w14:paraId="7B0F615E" w14:textId="77777777" w:rsidR="004A4753" w:rsidRPr="00D96D0B" w:rsidRDefault="004A4753" w:rsidP="004A4753">
            <w:pPr>
              <w:rPr>
                <w:rFonts w:cstheme="minorHAnsi"/>
                <w:sz w:val="18"/>
                <w:szCs w:val="18"/>
              </w:rPr>
            </w:pPr>
          </w:p>
        </w:tc>
        <w:tc>
          <w:tcPr>
            <w:tcW w:w="4847" w:type="dxa"/>
            <w:gridSpan w:val="3"/>
            <w:shd w:val="clear" w:color="auto" w:fill="auto"/>
            <w:vAlign w:val="center"/>
          </w:tcPr>
          <w:p w14:paraId="18174C29" w14:textId="5DC3F44F" w:rsidR="004A4753" w:rsidRPr="00D96D0B" w:rsidRDefault="004A4753" w:rsidP="004A4753">
            <w:pPr>
              <w:jc w:val="center"/>
              <w:rPr>
                <w:rFonts w:cstheme="minorHAnsi"/>
                <w:sz w:val="18"/>
                <w:szCs w:val="18"/>
              </w:rPr>
            </w:pPr>
            <w:r w:rsidRPr="00D96D0B">
              <w:rPr>
                <w:rFonts w:cstheme="minorHAnsi"/>
                <w:sz w:val="18"/>
                <w:szCs w:val="18"/>
              </w:rPr>
              <w:t xml:space="preserve">Renal </w:t>
            </w:r>
            <w:proofErr w:type="spellStart"/>
            <w:r w:rsidRPr="00D96D0B">
              <w:rPr>
                <w:rFonts w:cstheme="minorHAnsi"/>
                <w:sz w:val="18"/>
                <w:szCs w:val="18"/>
              </w:rPr>
              <w:t>failure</w:t>
            </w:r>
            <w:proofErr w:type="spellEnd"/>
            <w:r w:rsidRPr="00D96D0B">
              <w:rPr>
                <w:rFonts w:cstheme="minorHAnsi"/>
                <w:sz w:val="18"/>
                <w:szCs w:val="18"/>
              </w:rPr>
              <w:t xml:space="preserve"> </w:t>
            </w:r>
            <w:proofErr w:type="spellStart"/>
            <w:r w:rsidRPr="00D96D0B">
              <w:rPr>
                <w:rFonts w:cstheme="minorHAnsi"/>
                <w:sz w:val="18"/>
                <w:szCs w:val="18"/>
              </w:rPr>
              <w:t>on</w:t>
            </w:r>
            <w:proofErr w:type="spellEnd"/>
            <w:r w:rsidRPr="00D96D0B">
              <w:rPr>
                <w:rFonts w:cstheme="minorHAnsi"/>
                <w:sz w:val="18"/>
                <w:szCs w:val="18"/>
              </w:rPr>
              <w:t xml:space="preserve"> </w:t>
            </w:r>
            <w:proofErr w:type="spellStart"/>
            <w:r w:rsidRPr="00D96D0B">
              <w:rPr>
                <w:rFonts w:cstheme="minorHAnsi"/>
                <w:sz w:val="18"/>
                <w:szCs w:val="18"/>
              </w:rPr>
              <w:t>dialysis</w:t>
            </w:r>
            <w:proofErr w:type="spellEnd"/>
          </w:p>
        </w:tc>
        <w:tc>
          <w:tcPr>
            <w:tcW w:w="3425" w:type="dxa"/>
            <w:shd w:val="clear" w:color="auto" w:fill="F2F2F2" w:themeFill="background1" w:themeFillShade="F2"/>
            <w:vAlign w:val="center"/>
          </w:tcPr>
          <w:p w14:paraId="50D181DB" w14:textId="037BD008" w:rsidR="004A4753" w:rsidRPr="00D96D0B" w:rsidRDefault="004A4753" w:rsidP="004A4753">
            <w:pPr>
              <w:jc w:val="center"/>
              <w:rPr>
                <w:rFonts w:cstheme="minorHAnsi"/>
                <w:sz w:val="18"/>
                <w:szCs w:val="18"/>
              </w:rPr>
            </w:pPr>
            <w:r w:rsidRPr="00D96D0B">
              <w:rPr>
                <w:rFonts w:cs="Calibri"/>
                <w:sz w:val="18"/>
                <w:szCs w:val="18"/>
                <w:lang w:val="en-US"/>
              </w:rPr>
              <w:t>(Browne et al, 2019)</w:t>
            </w:r>
          </w:p>
        </w:tc>
      </w:tr>
      <w:tr w:rsidR="004A4753" w:rsidRPr="00D96D0B" w14:paraId="2033801E" w14:textId="77777777" w:rsidTr="004C6F29">
        <w:trPr>
          <w:cantSplit/>
          <w:trHeight w:val="253"/>
        </w:trPr>
        <w:tc>
          <w:tcPr>
            <w:tcW w:w="1793" w:type="dxa"/>
            <w:vMerge/>
            <w:shd w:val="clear" w:color="auto" w:fill="auto"/>
            <w:vAlign w:val="center"/>
          </w:tcPr>
          <w:p w14:paraId="249682C9" w14:textId="77777777" w:rsidR="004A4753" w:rsidRPr="00D96D0B" w:rsidRDefault="004A4753" w:rsidP="004A4753">
            <w:pPr>
              <w:rPr>
                <w:rFonts w:cstheme="minorHAnsi"/>
                <w:sz w:val="18"/>
                <w:szCs w:val="18"/>
              </w:rPr>
            </w:pPr>
          </w:p>
        </w:tc>
        <w:tc>
          <w:tcPr>
            <w:tcW w:w="4847" w:type="dxa"/>
            <w:gridSpan w:val="3"/>
            <w:shd w:val="clear" w:color="auto" w:fill="auto"/>
            <w:vAlign w:val="center"/>
          </w:tcPr>
          <w:p w14:paraId="3D241DF4" w14:textId="2190A2FB" w:rsidR="004A4753" w:rsidRPr="00D96D0B" w:rsidRDefault="004A4753" w:rsidP="004A4753">
            <w:pPr>
              <w:jc w:val="center"/>
              <w:rPr>
                <w:rFonts w:cstheme="minorHAnsi"/>
                <w:sz w:val="18"/>
                <w:szCs w:val="18"/>
              </w:rPr>
            </w:pPr>
            <w:proofErr w:type="spellStart"/>
            <w:r w:rsidRPr="00D96D0B">
              <w:rPr>
                <w:rFonts w:cstheme="minorHAnsi"/>
                <w:sz w:val="18"/>
                <w:szCs w:val="18"/>
              </w:rPr>
              <w:t>Congestive</w:t>
            </w:r>
            <w:proofErr w:type="spellEnd"/>
            <w:r w:rsidRPr="00D96D0B">
              <w:rPr>
                <w:rFonts w:cstheme="minorHAnsi"/>
                <w:sz w:val="18"/>
                <w:szCs w:val="18"/>
              </w:rPr>
              <w:t xml:space="preserve"> </w:t>
            </w:r>
            <w:proofErr w:type="spellStart"/>
            <w:r w:rsidRPr="00D96D0B">
              <w:rPr>
                <w:rFonts w:cstheme="minorHAnsi"/>
                <w:sz w:val="18"/>
                <w:szCs w:val="18"/>
              </w:rPr>
              <w:t>heart</w:t>
            </w:r>
            <w:proofErr w:type="spellEnd"/>
            <w:r w:rsidRPr="00D96D0B">
              <w:rPr>
                <w:rFonts w:cstheme="minorHAnsi"/>
                <w:sz w:val="18"/>
                <w:szCs w:val="18"/>
              </w:rPr>
              <w:t xml:space="preserve"> </w:t>
            </w:r>
            <w:proofErr w:type="spellStart"/>
            <w:r w:rsidRPr="00D96D0B">
              <w:rPr>
                <w:rFonts w:cstheme="minorHAnsi"/>
                <w:sz w:val="18"/>
                <w:szCs w:val="18"/>
              </w:rPr>
              <w:t>failure</w:t>
            </w:r>
            <w:proofErr w:type="spellEnd"/>
          </w:p>
        </w:tc>
        <w:tc>
          <w:tcPr>
            <w:tcW w:w="3425" w:type="dxa"/>
            <w:shd w:val="clear" w:color="auto" w:fill="F2F2F2" w:themeFill="background1" w:themeFillShade="F2"/>
            <w:vAlign w:val="center"/>
          </w:tcPr>
          <w:p w14:paraId="2D9DF7AD" w14:textId="1661A326" w:rsidR="004A4753" w:rsidRPr="00D96D0B" w:rsidRDefault="004A4753" w:rsidP="004A4753">
            <w:pPr>
              <w:jc w:val="center"/>
              <w:rPr>
                <w:rFonts w:cstheme="minorHAnsi"/>
                <w:sz w:val="18"/>
                <w:szCs w:val="18"/>
              </w:rPr>
            </w:pPr>
            <w:r w:rsidRPr="00D96D0B">
              <w:rPr>
                <w:rFonts w:cs="Calibri"/>
                <w:sz w:val="18"/>
                <w:szCs w:val="18"/>
                <w:lang w:val="en-US"/>
              </w:rPr>
              <w:t>(Edmiston Jr. et al, 2019)</w:t>
            </w:r>
          </w:p>
        </w:tc>
      </w:tr>
      <w:tr w:rsidR="004A4753" w:rsidRPr="00D96D0B" w14:paraId="265D54A3" w14:textId="77777777" w:rsidTr="004C6F29">
        <w:trPr>
          <w:cantSplit/>
          <w:trHeight w:val="238"/>
        </w:trPr>
        <w:tc>
          <w:tcPr>
            <w:tcW w:w="1793" w:type="dxa"/>
            <w:vMerge/>
            <w:shd w:val="clear" w:color="auto" w:fill="auto"/>
            <w:vAlign w:val="center"/>
          </w:tcPr>
          <w:p w14:paraId="72C6B153" w14:textId="77777777" w:rsidR="004A4753" w:rsidRPr="00D96D0B" w:rsidRDefault="004A4753" w:rsidP="004A4753">
            <w:pPr>
              <w:rPr>
                <w:rFonts w:cstheme="minorHAnsi"/>
                <w:sz w:val="18"/>
                <w:szCs w:val="18"/>
              </w:rPr>
            </w:pPr>
          </w:p>
        </w:tc>
        <w:tc>
          <w:tcPr>
            <w:tcW w:w="4847" w:type="dxa"/>
            <w:gridSpan w:val="3"/>
            <w:shd w:val="clear" w:color="auto" w:fill="auto"/>
            <w:vAlign w:val="center"/>
          </w:tcPr>
          <w:p w14:paraId="4B8DA05B" w14:textId="4E4B57B7" w:rsidR="004A4753" w:rsidRPr="00D96D0B" w:rsidRDefault="004A4753" w:rsidP="004A4753">
            <w:pPr>
              <w:jc w:val="center"/>
              <w:rPr>
                <w:rFonts w:cstheme="minorHAnsi"/>
                <w:sz w:val="18"/>
                <w:szCs w:val="18"/>
              </w:rPr>
            </w:pPr>
            <w:proofErr w:type="spellStart"/>
            <w:r w:rsidRPr="00D96D0B">
              <w:rPr>
                <w:rFonts w:cstheme="minorHAnsi"/>
                <w:sz w:val="18"/>
                <w:szCs w:val="18"/>
              </w:rPr>
              <w:t>Coagulopathy</w:t>
            </w:r>
            <w:proofErr w:type="spellEnd"/>
          </w:p>
        </w:tc>
        <w:tc>
          <w:tcPr>
            <w:tcW w:w="3425" w:type="dxa"/>
            <w:shd w:val="clear" w:color="auto" w:fill="F2F2F2" w:themeFill="background1" w:themeFillShade="F2"/>
            <w:vAlign w:val="center"/>
          </w:tcPr>
          <w:p w14:paraId="134DAFC8" w14:textId="03E0E09B" w:rsidR="004A4753" w:rsidRPr="00D96D0B" w:rsidRDefault="004A4753" w:rsidP="004A4753">
            <w:pPr>
              <w:jc w:val="center"/>
              <w:rPr>
                <w:rFonts w:cstheme="minorHAnsi"/>
                <w:sz w:val="18"/>
                <w:szCs w:val="18"/>
              </w:rPr>
            </w:pPr>
            <w:r w:rsidRPr="00D96D0B">
              <w:rPr>
                <w:rFonts w:cs="Calibri"/>
                <w:sz w:val="18"/>
                <w:szCs w:val="18"/>
                <w:lang w:val="en-US"/>
              </w:rPr>
              <w:t>(Edmiston Jr. et al, 2019)</w:t>
            </w:r>
          </w:p>
        </w:tc>
      </w:tr>
      <w:tr w:rsidR="004A4753" w:rsidRPr="00D96D0B" w14:paraId="0A6CFA5C" w14:textId="77777777" w:rsidTr="004C6F29">
        <w:trPr>
          <w:cantSplit/>
          <w:trHeight w:val="269"/>
        </w:trPr>
        <w:tc>
          <w:tcPr>
            <w:tcW w:w="1793" w:type="dxa"/>
            <w:vMerge/>
            <w:shd w:val="clear" w:color="auto" w:fill="auto"/>
            <w:vAlign w:val="center"/>
          </w:tcPr>
          <w:p w14:paraId="6584C7E8" w14:textId="77777777" w:rsidR="004A4753" w:rsidRPr="00D96D0B" w:rsidRDefault="004A4753" w:rsidP="004A4753">
            <w:pPr>
              <w:rPr>
                <w:rFonts w:cstheme="minorHAnsi"/>
                <w:sz w:val="18"/>
                <w:szCs w:val="18"/>
              </w:rPr>
            </w:pPr>
          </w:p>
        </w:tc>
        <w:tc>
          <w:tcPr>
            <w:tcW w:w="4847" w:type="dxa"/>
            <w:gridSpan w:val="3"/>
            <w:shd w:val="clear" w:color="auto" w:fill="auto"/>
            <w:vAlign w:val="center"/>
          </w:tcPr>
          <w:p w14:paraId="31F5EF31" w14:textId="12E930FF" w:rsidR="004A4753" w:rsidRPr="00D96D0B" w:rsidRDefault="004A4753" w:rsidP="004A4753">
            <w:pPr>
              <w:jc w:val="center"/>
              <w:rPr>
                <w:rFonts w:cstheme="minorHAnsi"/>
                <w:sz w:val="18"/>
                <w:szCs w:val="18"/>
              </w:rPr>
            </w:pPr>
            <w:proofErr w:type="spellStart"/>
            <w:r w:rsidRPr="00D96D0B">
              <w:rPr>
                <w:rFonts w:cstheme="minorHAnsi"/>
                <w:sz w:val="18"/>
                <w:szCs w:val="18"/>
              </w:rPr>
              <w:t>Liver</w:t>
            </w:r>
            <w:proofErr w:type="spellEnd"/>
            <w:r w:rsidRPr="00D96D0B">
              <w:rPr>
                <w:rFonts w:cstheme="minorHAnsi"/>
                <w:sz w:val="18"/>
                <w:szCs w:val="18"/>
              </w:rPr>
              <w:t xml:space="preserve"> </w:t>
            </w:r>
            <w:proofErr w:type="spellStart"/>
            <w:r w:rsidRPr="00D96D0B">
              <w:rPr>
                <w:rFonts w:cstheme="minorHAnsi"/>
                <w:sz w:val="18"/>
                <w:szCs w:val="18"/>
              </w:rPr>
              <w:t>disease</w:t>
            </w:r>
            <w:proofErr w:type="spellEnd"/>
          </w:p>
        </w:tc>
        <w:tc>
          <w:tcPr>
            <w:tcW w:w="3425" w:type="dxa"/>
            <w:shd w:val="clear" w:color="auto" w:fill="F2F2F2" w:themeFill="background1" w:themeFillShade="F2"/>
            <w:vAlign w:val="center"/>
          </w:tcPr>
          <w:p w14:paraId="42E5F175" w14:textId="23767F37" w:rsidR="004A4753" w:rsidRPr="00D96D0B" w:rsidRDefault="004A4753" w:rsidP="004A4753">
            <w:pPr>
              <w:jc w:val="center"/>
              <w:rPr>
                <w:rFonts w:cstheme="minorHAnsi"/>
                <w:sz w:val="18"/>
                <w:szCs w:val="18"/>
              </w:rPr>
            </w:pPr>
            <w:r w:rsidRPr="00D96D0B">
              <w:rPr>
                <w:rFonts w:cs="Calibri"/>
                <w:sz w:val="18"/>
                <w:szCs w:val="18"/>
                <w:lang w:val="en-US"/>
              </w:rPr>
              <w:t>(Rhee et al, 2018)</w:t>
            </w:r>
          </w:p>
        </w:tc>
      </w:tr>
      <w:tr w:rsidR="004A4753" w:rsidRPr="002E3994" w14:paraId="1CEBC8C9" w14:textId="77777777" w:rsidTr="004C6F29">
        <w:trPr>
          <w:cantSplit/>
          <w:trHeight w:val="276"/>
        </w:trPr>
        <w:tc>
          <w:tcPr>
            <w:tcW w:w="1793" w:type="dxa"/>
            <w:vMerge/>
            <w:shd w:val="clear" w:color="auto" w:fill="auto"/>
            <w:vAlign w:val="center"/>
          </w:tcPr>
          <w:p w14:paraId="11CD61A2" w14:textId="77777777" w:rsidR="004A4753" w:rsidRPr="00D96D0B" w:rsidRDefault="004A4753" w:rsidP="004A4753">
            <w:pPr>
              <w:rPr>
                <w:rFonts w:cstheme="minorHAnsi"/>
                <w:sz w:val="18"/>
                <w:szCs w:val="18"/>
              </w:rPr>
            </w:pPr>
          </w:p>
        </w:tc>
        <w:tc>
          <w:tcPr>
            <w:tcW w:w="4847" w:type="dxa"/>
            <w:gridSpan w:val="3"/>
            <w:shd w:val="clear" w:color="auto" w:fill="auto"/>
            <w:vAlign w:val="center"/>
          </w:tcPr>
          <w:p w14:paraId="0F273EE6" w14:textId="77777777" w:rsidR="004A4753" w:rsidRPr="00D96D0B" w:rsidRDefault="004A4753" w:rsidP="004A4753">
            <w:pPr>
              <w:jc w:val="center"/>
              <w:rPr>
                <w:rFonts w:cstheme="minorHAnsi"/>
                <w:sz w:val="18"/>
                <w:szCs w:val="18"/>
              </w:rPr>
            </w:pPr>
            <w:r w:rsidRPr="00D96D0B">
              <w:rPr>
                <w:rFonts w:cstheme="minorHAnsi"/>
                <w:sz w:val="18"/>
                <w:szCs w:val="18"/>
              </w:rPr>
              <w:t>Diabetes</w:t>
            </w:r>
          </w:p>
        </w:tc>
        <w:tc>
          <w:tcPr>
            <w:tcW w:w="3425" w:type="dxa"/>
            <w:shd w:val="clear" w:color="auto" w:fill="F2F2F2" w:themeFill="background1" w:themeFillShade="F2"/>
            <w:vAlign w:val="center"/>
          </w:tcPr>
          <w:p w14:paraId="6FA4B61F" w14:textId="581F6BFB" w:rsidR="004A4753" w:rsidRPr="00D96D0B" w:rsidRDefault="004A4753" w:rsidP="004A4753">
            <w:pPr>
              <w:jc w:val="center"/>
              <w:rPr>
                <w:rFonts w:cstheme="minorHAnsi"/>
                <w:sz w:val="18"/>
                <w:szCs w:val="18"/>
                <w:lang w:val="en-US"/>
              </w:rPr>
            </w:pPr>
            <w:r w:rsidRPr="00D96D0B">
              <w:rPr>
                <w:rFonts w:cs="Calibri"/>
                <w:sz w:val="18"/>
                <w:szCs w:val="18"/>
                <w:lang w:val="en-US"/>
              </w:rPr>
              <w:t>(Edmiston Jr. et al, 2019</w:t>
            </w:r>
            <w:r w:rsidRPr="00D96D0B">
              <w:rPr>
                <w:rFonts w:cstheme="minorHAnsi"/>
                <w:sz w:val="18"/>
                <w:szCs w:val="18"/>
                <w:lang w:val="en-US"/>
              </w:rPr>
              <w:t xml:space="preserve">; </w:t>
            </w:r>
            <w:proofErr w:type="spellStart"/>
            <w:r w:rsidRPr="00D96D0B">
              <w:rPr>
                <w:rFonts w:cs="Calibri"/>
                <w:sz w:val="18"/>
                <w:szCs w:val="18"/>
                <w:lang w:val="en-US"/>
              </w:rPr>
              <w:t>Almustafa</w:t>
            </w:r>
            <w:proofErr w:type="spellEnd"/>
            <w:r w:rsidRPr="00D96D0B">
              <w:rPr>
                <w:rFonts w:cs="Calibri"/>
                <w:sz w:val="18"/>
                <w:szCs w:val="18"/>
                <w:lang w:val="en-US"/>
              </w:rPr>
              <w:t xml:space="preserve"> et al, 2018)</w:t>
            </w:r>
          </w:p>
        </w:tc>
      </w:tr>
      <w:tr w:rsidR="004A4753" w:rsidRPr="00D96D0B" w14:paraId="48081F74" w14:textId="77777777" w:rsidTr="004C6F29">
        <w:trPr>
          <w:cantSplit/>
          <w:trHeight w:val="250"/>
        </w:trPr>
        <w:tc>
          <w:tcPr>
            <w:tcW w:w="1793" w:type="dxa"/>
            <w:vMerge/>
            <w:shd w:val="clear" w:color="auto" w:fill="auto"/>
            <w:vAlign w:val="center"/>
          </w:tcPr>
          <w:p w14:paraId="1C8294DF" w14:textId="77777777" w:rsidR="004A4753" w:rsidRPr="00D96D0B" w:rsidRDefault="004A4753" w:rsidP="004A4753">
            <w:pPr>
              <w:rPr>
                <w:rFonts w:cstheme="minorHAnsi"/>
                <w:sz w:val="18"/>
                <w:szCs w:val="18"/>
                <w:lang w:val="en-US"/>
              </w:rPr>
            </w:pPr>
          </w:p>
        </w:tc>
        <w:tc>
          <w:tcPr>
            <w:tcW w:w="4847" w:type="dxa"/>
            <w:gridSpan w:val="3"/>
            <w:shd w:val="clear" w:color="auto" w:fill="auto"/>
            <w:vAlign w:val="center"/>
          </w:tcPr>
          <w:p w14:paraId="5895FE49" w14:textId="103E7C95" w:rsidR="004A4753" w:rsidRPr="00D96D0B" w:rsidRDefault="004A4753" w:rsidP="004A4753">
            <w:pPr>
              <w:jc w:val="center"/>
              <w:rPr>
                <w:rFonts w:cstheme="minorHAnsi"/>
                <w:sz w:val="18"/>
                <w:szCs w:val="18"/>
              </w:rPr>
            </w:pPr>
            <w:proofErr w:type="spellStart"/>
            <w:r w:rsidRPr="00D96D0B">
              <w:rPr>
                <w:rFonts w:cstheme="minorHAnsi"/>
                <w:sz w:val="18"/>
                <w:szCs w:val="18"/>
              </w:rPr>
              <w:t>Hypertension</w:t>
            </w:r>
            <w:proofErr w:type="spellEnd"/>
          </w:p>
        </w:tc>
        <w:tc>
          <w:tcPr>
            <w:tcW w:w="3425" w:type="dxa"/>
            <w:shd w:val="clear" w:color="auto" w:fill="F2F2F2" w:themeFill="background1" w:themeFillShade="F2"/>
            <w:vAlign w:val="center"/>
          </w:tcPr>
          <w:p w14:paraId="0D49171B" w14:textId="385357C8" w:rsidR="004A4753" w:rsidRPr="00D96D0B" w:rsidRDefault="004A4753" w:rsidP="004A4753">
            <w:pPr>
              <w:jc w:val="center"/>
              <w:rPr>
                <w:rFonts w:cstheme="minorHAnsi"/>
                <w:sz w:val="18"/>
                <w:szCs w:val="18"/>
              </w:rPr>
            </w:pPr>
            <w:r w:rsidRPr="00D96D0B">
              <w:rPr>
                <w:rFonts w:cs="Calibri"/>
                <w:sz w:val="18"/>
                <w:szCs w:val="18"/>
                <w:lang w:val="en-US"/>
              </w:rPr>
              <w:t>(</w:t>
            </w:r>
            <w:proofErr w:type="spellStart"/>
            <w:r w:rsidRPr="00D96D0B">
              <w:rPr>
                <w:rFonts w:cs="Calibri"/>
                <w:sz w:val="18"/>
                <w:szCs w:val="18"/>
                <w:lang w:val="en-US"/>
              </w:rPr>
              <w:t>Almustafa</w:t>
            </w:r>
            <w:proofErr w:type="spellEnd"/>
            <w:r w:rsidRPr="00D96D0B">
              <w:rPr>
                <w:rFonts w:cs="Calibri"/>
                <w:sz w:val="18"/>
                <w:szCs w:val="18"/>
                <w:lang w:val="en-US"/>
              </w:rPr>
              <w:t xml:space="preserve"> et al, 2018)</w:t>
            </w:r>
          </w:p>
        </w:tc>
      </w:tr>
      <w:tr w:rsidR="004A4753" w:rsidRPr="00D96D0B" w14:paraId="46E4C2EA" w14:textId="77777777" w:rsidTr="004C6F29">
        <w:trPr>
          <w:cantSplit/>
          <w:trHeight w:val="140"/>
        </w:trPr>
        <w:tc>
          <w:tcPr>
            <w:tcW w:w="1793" w:type="dxa"/>
            <w:vMerge/>
            <w:shd w:val="clear" w:color="auto" w:fill="auto"/>
            <w:vAlign w:val="center"/>
          </w:tcPr>
          <w:p w14:paraId="7AAB8B44" w14:textId="77777777" w:rsidR="004A4753" w:rsidRPr="00D96D0B" w:rsidRDefault="004A4753" w:rsidP="004A4753">
            <w:pPr>
              <w:rPr>
                <w:rFonts w:cstheme="minorHAnsi"/>
                <w:sz w:val="18"/>
                <w:szCs w:val="18"/>
              </w:rPr>
            </w:pPr>
          </w:p>
        </w:tc>
        <w:tc>
          <w:tcPr>
            <w:tcW w:w="3289" w:type="dxa"/>
            <w:gridSpan w:val="2"/>
            <w:shd w:val="clear" w:color="auto" w:fill="F2F2F2" w:themeFill="background1" w:themeFillShade="F2"/>
            <w:vAlign w:val="center"/>
          </w:tcPr>
          <w:p w14:paraId="220A9FA6" w14:textId="34B73CE4" w:rsidR="004A4753" w:rsidRPr="00D96D0B" w:rsidRDefault="004A4753" w:rsidP="004A4753">
            <w:pPr>
              <w:jc w:val="center"/>
              <w:rPr>
                <w:rFonts w:cstheme="minorHAnsi"/>
                <w:sz w:val="18"/>
                <w:szCs w:val="18"/>
              </w:rPr>
            </w:pPr>
          </w:p>
        </w:tc>
        <w:tc>
          <w:tcPr>
            <w:tcW w:w="1558" w:type="dxa"/>
            <w:shd w:val="clear" w:color="auto" w:fill="auto"/>
            <w:vAlign w:val="center"/>
          </w:tcPr>
          <w:p w14:paraId="0C9B652C" w14:textId="68260637" w:rsidR="004A4753" w:rsidRPr="00D96D0B" w:rsidRDefault="004A4753" w:rsidP="004A4753">
            <w:pPr>
              <w:jc w:val="center"/>
              <w:rPr>
                <w:rFonts w:cstheme="minorHAnsi"/>
                <w:sz w:val="18"/>
                <w:szCs w:val="18"/>
              </w:rPr>
            </w:pPr>
            <w:proofErr w:type="spellStart"/>
            <w:r w:rsidRPr="00D96D0B">
              <w:rPr>
                <w:rFonts w:cstheme="minorHAnsi"/>
                <w:sz w:val="18"/>
                <w:szCs w:val="18"/>
              </w:rPr>
              <w:t>Peripheral</w:t>
            </w:r>
            <w:proofErr w:type="spellEnd"/>
            <w:r w:rsidRPr="00D96D0B">
              <w:rPr>
                <w:rFonts w:cstheme="minorHAnsi"/>
                <w:sz w:val="18"/>
                <w:szCs w:val="18"/>
              </w:rPr>
              <w:t xml:space="preserve"> </w:t>
            </w:r>
            <w:proofErr w:type="spellStart"/>
            <w:r w:rsidRPr="00D96D0B">
              <w:rPr>
                <w:rFonts w:cstheme="minorHAnsi"/>
                <w:sz w:val="18"/>
                <w:szCs w:val="18"/>
              </w:rPr>
              <w:t>venous</w:t>
            </w:r>
            <w:proofErr w:type="spellEnd"/>
            <w:r w:rsidRPr="00D96D0B">
              <w:rPr>
                <w:rFonts w:cstheme="minorHAnsi"/>
                <w:sz w:val="18"/>
                <w:szCs w:val="18"/>
              </w:rPr>
              <w:t xml:space="preserve"> </w:t>
            </w:r>
            <w:proofErr w:type="spellStart"/>
            <w:r w:rsidRPr="00D96D0B">
              <w:rPr>
                <w:rFonts w:cstheme="minorHAnsi"/>
                <w:sz w:val="18"/>
                <w:szCs w:val="18"/>
              </w:rPr>
              <w:t>disease</w:t>
            </w:r>
            <w:proofErr w:type="spellEnd"/>
          </w:p>
        </w:tc>
        <w:tc>
          <w:tcPr>
            <w:tcW w:w="3425" w:type="dxa"/>
            <w:shd w:val="clear" w:color="auto" w:fill="F2F2F2" w:themeFill="background1" w:themeFillShade="F2"/>
            <w:vAlign w:val="center"/>
          </w:tcPr>
          <w:p w14:paraId="4084EF7F" w14:textId="70CF1DFE" w:rsidR="004A4753" w:rsidRPr="00D96D0B" w:rsidRDefault="004A4753" w:rsidP="004A4753">
            <w:pPr>
              <w:jc w:val="center"/>
              <w:rPr>
                <w:rFonts w:cstheme="minorHAnsi"/>
                <w:sz w:val="18"/>
                <w:szCs w:val="18"/>
              </w:rPr>
            </w:pPr>
            <w:r w:rsidRPr="00D96D0B">
              <w:rPr>
                <w:rFonts w:cs="Calibri"/>
                <w:sz w:val="18"/>
                <w:szCs w:val="18"/>
                <w:lang w:val="en-US"/>
              </w:rPr>
              <w:t>(Marusic et al, 2021)</w:t>
            </w:r>
          </w:p>
        </w:tc>
      </w:tr>
      <w:tr w:rsidR="004A4753" w:rsidRPr="00D96D0B" w14:paraId="62F91F6E" w14:textId="77777777" w:rsidTr="004C6F29">
        <w:trPr>
          <w:cantSplit/>
          <w:trHeight w:val="185"/>
        </w:trPr>
        <w:tc>
          <w:tcPr>
            <w:tcW w:w="1793" w:type="dxa"/>
            <w:vMerge/>
            <w:shd w:val="clear" w:color="auto" w:fill="auto"/>
            <w:vAlign w:val="center"/>
          </w:tcPr>
          <w:p w14:paraId="51165470" w14:textId="77777777" w:rsidR="004A4753" w:rsidRPr="00D96D0B" w:rsidRDefault="004A4753" w:rsidP="004A4753">
            <w:pPr>
              <w:rPr>
                <w:rFonts w:cstheme="minorHAnsi"/>
                <w:sz w:val="18"/>
                <w:szCs w:val="18"/>
              </w:rPr>
            </w:pPr>
          </w:p>
        </w:tc>
        <w:tc>
          <w:tcPr>
            <w:tcW w:w="4847" w:type="dxa"/>
            <w:gridSpan w:val="3"/>
            <w:shd w:val="clear" w:color="auto" w:fill="auto"/>
            <w:vAlign w:val="center"/>
          </w:tcPr>
          <w:p w14:paraId="60B226D3" w14:textId="37E8E6A4" w:rsidR="004A4753" w:rsidRPr="00D96D0B" w:rsidRDefault="004A4753" w:rsidP="004A4753">
            <w:pPr>
              <w:jc w:val="center"/>
              <w:rPr>
                <w:rFonts w:cstheme="minorHAnsi"/>
                <w:sz w:val="18"/>
                <w:szCs w:val="18"/>
              </w:rPr>
            </w:pPr>
            <w:proofErr w:type="spellStart"/>
            <w:r w:rsidRPr="00D96D0B">
              <w:rPr>
                <w:rFonts w:cstheme="minorHAnsi"/>
                <w:sz w:val="18"/>
                <w:szCs w:val="18"/>
              </w:rPr>
              <w:t>Depression</w:t>
            </w:r>
            <w:proofErr w:type="spellEnd"/>
          </w:p>
        </w:tc>
        <w:tc>
          <w:tcPr>
            <w:tcW w:w="3425" w:type="dxa"/>
            <w:shd w:val="clear" w:color="auto" w:fill="F2F2F2" w:themeFill="background1" w:themeFillShade="F2"/>
            <w:vAlign w:val="center"/>
          </w:tcPr>
          <w:p w14:paraId="2D885A33" w14:textId="0E3647EF" w:rsidR="004A4753" w:rsidRPr="00D96D0B" w:rsidRDefault="004A4753" w:rsidP="004A4753">
            <w:pPr>
              <w:jc w:val="center"/>
              <w:rPr>
                <w:rFonts w:cstheme="minorHAnsi"/>
                <w:sz w:val="18"/>
                <w:szCs w:val="18"/>
              </w:rPr>
            </w:pPr>
            <w:r w:rsidRPr="00D96D0B">
              <w:rPr>
                <w:rFonts w:cs="Calibri"/>
                <w:sz w:val="18"/>
                <w:szCs w:val="18"/>
                <w:lang w:val="en-US"/>
              </w:rPr>
              <w:t>(Sodhi et al, 2020)</w:t>
            </w:r>
          </w:p>
        </w:tc>
      </w:tr>
      <w:tr w:rsidR="004A4753" w:rsidRPr="002E3994" w14:paraId="60FC7C0C" w14:textId="77777777" w:rsidTr="004C6F29">
        <w:trPr>
          <w:cantSplit/>
          <w:trHeight w:val="20"/>
        </w:trPr>
        <w:tc>
          <w:tcPr>
            <w:tcW w:w="1793" w:type="dxa"/>
            <w:shd w:val="clear" w:color="auto" w:fill="auto"/>
            <w:vAlign w:val="center"/>
          </w:tcPr>
          <w:p w14:paraId="0A37B50D" w14:textId="7B24E825" w:rsidR="004A4753" w:rsidRPr="00D96D0B" w:rsidRDefault="004A4753" w:rsidP="004A4753">
            <w:pPr>
              <w:rPr>
                <w:rFonts w:cstheme="minorHAnsi"/>
                <w:sz w:val="18"/>
                <w:szCs w:val="18"/>
              </w:rPr>
            </w:pPr>
            <w:proofErr w:type="spellStart"/>
            <w:r w:rsidRPr="00D96D0B">
              <w:rPr>
                <w:rFonts w:cstheme="minorHAnsi"/>
                <w:sz w:val="18"/>
                <w:szCs w:val="18"/>
              </w:rPr>
              <w:t>Seasonality</w:t>
            </w:r>
            <w:proofErr w:type="spellEnd"/>
          </w:p>
        </w:tc>
        <w:tc>
          <w:tcPr>
            <w:tcW w:w="4847" w:type="dxa"/>
            <w:gridSpan w:val="3"/>
            <w:shd w:val="clear" w:color="auto" w:fill="auto"/>
            <w:vAlign w:val="center"/>
          </w:tcPr>
          <w:p w14:paraId="16297164" w14:textId="77170471" w:rsidR="004A4753" w:rsidRPr="00D96D0B" w:rsidRDefault="004A4753" w:rsidP="004A4753">
            <w:pPr>
              <w:jc w:val="center"/>
              <w:rPr>
                <w:rFonts w:cstheme="minorHAnsi"/>
                <w:sz w:val="18"/>
                <w:szCs w:val="18"/>
              </w:rPr>
            </w:pPr>
            <w:proofErr w:type="spellStart"/>
            <w:r w:rsidRPr="00D96D0B">
              <w:rPr>
                <w:rFonts w:cstheme="minorHAnsi"/>
                <w:sz w:val="18"/>
                <w:szCs w:val="18"/>
              </w:rPr>
              <w:t>Summer</w:t>
            </w:r>
            <w:proofErr w:type="spellEnd"/>
          </w:p>
        </w:tc>
        <w:tc>
          <w:tcPr>
            <w:tcW w:w="3425" w:type="dxa"/>
            <w:shd w:val="clear" w:color="auto" w:fill="F2F2F2" w:themeFill="background1" w:themeFillShade="F2"/>
            <w:vAlign w:val="center"/>
          </w:tcPr>
          <w:p w14:paraId="4EEFCF9C" w14:textId="141335C4" w:rsidR="004A4753" w:rsidRPr="00D96D0B" w:rsidRDefault="004A4753" w:rsidP="004A4753">
            <w:pPr>
              <w:jc w:val="center"/>
              <w:rPr>
                <w:rFonts w:cstheme="minorHAnsi"/>
                <w:sz w:val="18"/>
                <w:szCs w:val="18"/>
                <w:lang w:val="en-US"/>
              </w:rPr>
            </w:pPr>
            <w:r w:rsidRPr="00D96D0B">
              <w:rPr>
                <w:rFonts w:cs="Calibri"/>
                <w:sz w:val="18"/>
                <w:szCs w:val="18"/>
                <w:lang w:val="en-US"/>
              </w:rPr>
              <w:t>(Bischoff et al, 2023</w:t>
            </w:r>
            <w:r w:rsidRPr="00D96D0B">
              <w:rPr>
                <w:rFonts w:cstheme="minorHAnsi"/>
                <w:sz w:val="18"/>
                <w:szCs w:val="18"/>
                <w:lang w:val="en-US"/>
              </w:rPr>
              <w:t xml:space="preserve">; </w:t>
            </w:r>
            <w:r w:rsidRPr="00D96D0B">
              <w:rPr>
                <w:rFonts w:cs="Calibri"/>
                <w:sz w:val="18"/>
                <w:szCs w:val="18"/>
                <w:lang w:val="en-US"/>
              </w:rPr>
              <w:t>Anthony et al, 2018)</w:t>
            </w:r>
          </w:p>
        </w:tc>
      </w:tr>
      <w:tr w:rsidR="004A4753" w:rsidRPr="00D96D0B" w14:paraId="1E3CA13C" w14:textId="77777777" w:rsidTr="004C6F29">
        <w:trPr>
          <w:cantSplit/>
          <w:trHeight w:val="204"/>
        </w:trPr>
        <w:tc>
          <w:tcPr>
            <w:tcW w:w="1793" w:type="dxa"/>
            <w:shd w:val="clear" w:color="auto" w:fill="auto"/>
            <w:vAlign w:val="center"/>
          </w:tcPr>
          <w:p w14:paraId="512FB32C" w14:textId="642ED399" w:rsidR="004A4753" w:rsidRPr="00D96D0B" w:rsidRDefault="004A4753" w:rsidP="004A4753">
            <w:pPr>
              <w:rPr>
                <w:rFonts w:cstheme="minorHAnsi"/>
                <w:sz w:val="18"/>
                <w:szCs w:val="18"/>
              </w:rPr>
            </w:pPr>
            <w:proofErr w:type="spellStart"/>
            <w:r w:rsidRPr="00D96D0B">
              <w:rPr>
                <w:rFonts w:cstheme="minorHAnsi"/>
                <w:sz w:val="18"/>
                <w:szCs w:val="18"/>
              </w:rPr>
              <w:t>Healing</w:t>
            </w:r>
            <w:proofErr w:type="spellEnd"/>
          </w:p>
        </w:tc>
        <w:tc>
          <w:tcPr>
            <w:tcW w:w="4847" w:type="dxa"/>
            <w:gridSpan w:val="3"/>
            <w:shd w:val="clear" w:color="auto" w:fill="auto"/>
            <w:vAlign w:val="center"/>
          </w:tcPr>
          <w:p w14:paraId="2DF97E85" w14:textId="648A5097" w:rsidR="004A4753" w:rsidRPr="00D96D0B" w:rsidRDefault="004A4753" w:rsidP="004A4753">
            <w:pPr>
              <w:jc w:val="center"/>
              <w:rPr>
                <w:rFonts w:cstheme="minorHAnsi"/>
                <w:sz w:val="18"/>
                <w:szCs w:val="18"/>
              </w:rPr>
            </w:pPr>
            <w:proofErr w:type="spellStart"/>
            <w:r w:rsidRPr="00D96D0B">
              <w:rPr>
                <w:rFonts w:cstheme="minorHAnsi"/>
                <w:sz w:val="18"/>
                <w:szCs w:val="18"/>
              </w:rPr>
              <w:t>Ahlbäck</w:t>
            </w:r>
            <w:proofErr w:type="spellEnd"/>
            <w:r w:rsidRPr="00D96D0B">
              <w:rPr>
                <w:rFonts w:cstheme="minorHAnsi"/>
                <w:sz w:val="18"/>
                <w:szCs w:val="18"/>
              </w:rPr>
              <w:t xml:space="preserve"> </w:t>
            </w:r>
            <w:proofErr w:type="spellStart"/>
            <w:r w:rsidRPr="00D96D0B">
              <w:rPr>
                <w:rFonts w:cstheme="minorHAnsi"/>
                <w:sz w:val="18"/>
                <w:szCs w:val="18"/>
              </w:rPr>
              <w:t>disease</w:t>
            </w:r>
            <w:proofErr w:type="spellEnd"/>
          </w:p>
        </w:tc>
        <w:tc>
          <w:tcPr>
            <w:tcW w:w="3425" w:type="dxa"/>
            <w:shd w:val="clear" w:color="auto" w:fill="F2F2F2" w:themeFill="background1" w:themeFillShade="F2"/>
            <w:vAlign w:val="center"/>
          </w:tcPr>
          <w:p w14:paraId="57777E7F" w14:textId="0281C050" w:rsidR="004A4753" w:rsidRPr="00D96D0B" w:rsidRDefault="004A4753" w:rsidP="004A4753">
            <w:pPr>
              <w:jc w:val="center"/>
              <w:rPr>
                <w:rFonts w:cstheme="minorHAnsi"/>
                <w:sz w:val="18"/>
                <w:szCs w:val="18"/>
              </w:rPr>
            </w:pPr>
            <w:r w:rsidRPr="00D96D0B">
              <w:rPr>
                <w:rFonts w:cs="Calibri"/>
                <w:sz w:val="18"/>
                <w:szCs w:val="18"/>
                <w:lang w:val="en-US"/>
              </w:rPr>
              <w:t>(Baier et al, 2019)</w:t>
            </w:r>
          </w:p>
        </w:tc>
      </w:tr>
    </w:tbl>
    <w:p w14:paraId="62E59738" w14:textId="346E64D8" w:rsidR="0049224B" w:rsidRDefault="0049224B" w:rsidP="00382212">
      <w:pPr>
        <w:spacing w:after="0" w:line="360" w:lineRule="auto"/>
        <w:jc w:val="both"/>
        <w:rPr>
          <w:rFonts w:cstheme="minorHAnsi"/>
        </w:rPr>
      </w:pPr>
    </w:p>
    <w:p w14:paraId="3DEA5E1D" w14:textId="77777777" w:rsidR="004C6F29" w:rsidRDefault="00815217" w:rsidP="00815217">
      <w:pPr>
        <w:spacing w:after="0" w:line="240" w:lineRule="auto"/>
        <w:jc w:val="both"/>
        <w:rPr>
          <w:rFonts w:cstheme="minorHAnsi"/>
          <w:lang w:val="en-US"/>
        </w:rPr>
      </w:pPr>
      <w:r w:rsidRPr="00D96D0B">
        <w:rPr>
          <w:rFonts w:cstheme="minorHAnsi"/>
          <w:lang w:val="en-US"/>
        </w:rPr>
        <w:t>Table 3</w:t>
      </w:r>
    </w:p>
    <w:p w14:paraId="0A1F74EF" w14:textId="08A5062B" w:rsidR="00815217" w:rsidRPr="00815217" w:rsidRDefault="00815217" w:rsidP="00815217">
      <w:pPr>
        <w:spacing w:after="0" w:line="240" w:lineRule="auto"/>
        <w:jc w:val="both"/>
        <w:rPr>
          <w:rFonts w:cstheme="minorHAnsi"/>
          <w:lang w:val="en-US"/>
        </w:rPr>
      </w:pPr>
      <w:r w:rsidRPr="00D96D0B">
        <w:rPr>
          <w:rFonts w:cstheme="minorHAnsi"/>
          <w:lang w:val="en-US"/>
        </w:rPr>
        <w:t>Modifiable SSIs risk facto</w:t>
      </w:r>
      <w:r>
        <w:rPr>
          <w:rFonts w:cstheme="minorHAnsi"/>
          <w:lang w:val="en-US"/>
        </w:rPr>
        <w:t>r</w:t>
      </w:r>
      <w:r w:rsidRPr="00D96D0B">
        <w:rPr>
          <w:rFonts w:cstheme="minorHAnsi"/>
          <w:lang w:val="en-US"/>
        </w:rPr>
        <w:t>s</w:t>
      </w:r>
    </w:p>
    <w:tbl>
      <w:tblPr>
        <w:tblStyle w:val="TabelacomGrelha"/>
        <w:tblpPr w:leftFromText="141" w:rightFromText="141" w:vertAnchor="text" w:horzAnchor="margin" w:tblpX="-142" w:tblpY="305"/>
        <w:tblW w:w="10065" w:type="dxa"/>
        <w:tblBorders>
          <w:left w:val="none" w:sz="0" w:space="0" w:color="auto"/>
          <w:right w:val="none" w:sz="0" w:space="0" w:color="auto"/>
        </w:tblBorders>
        <w:tblLayout w:type="fixed"/>
        <w:tblLook w:val="04A0" w:firstRow="1" w:lastRow="0" w:firstColumn="1" w:lastColumn="0" w:noHBand="0" w:noVBand="1"/>
      </w:tblPr>
      <w:tblGrid>
        <w:gridCol w:w="1617"/>
        <w:gridCol w:w="1621"/>
        <w:gridCol w:w="1701"/>
        <w:gridCol w:w="1701"/>
        <w:gridCol w:w="3425"/>
      </w:tblGrid>
      <w:tr w:rsidR="004A4753" w:rsidRPr="00D96D0B" w14:paraId="545C64E0" w14:textId="77777777" w:rsidTr="004C6F29">
        <w:trPr>
          <w:cantSplit/>
          <w:trHeight w:val="20"/>
        </w:trPr>
        <w:tc>
          <w:tcPr>
            <w:tcW w:w="1617" w:type="dxa"/>
            <w:vAlign w:val="center"/>
          </w:tcPr>
          <w:p w14:paraId="145694F5" w14:textId="56F5BE07" w:rsidR="004A4753" w:rsidRPr="00D96D0B" w:rsidRDefault="004A4753" w:rsidP="004C6F29">
            <w:pPr>
              <w:rPr>
                <w:rFonts w:cstheme="minorHAnsi"/>
                <w:sz w:val="18"/>
                <w:szCs w:val="18"/>
              </w:rPr>
            </w:pPr>
            <w:r w:rsidRPr="00D96D0B">
              <w:rPr>
                <w:rFonts w:cstheme="minorHAnsi"/>
                <w:sz w:val="18"/>
                <w:szCs w:val="18"/>
              </w:rPr>
              <w:t>FACTORS</w:t>
            </w:r>
          </w:p>
        </w:tc>
        <w:tc>
          <w:tcPr>
            <w:tcW w:w="1621" w:type="dxa"/>
            <w:vAlign w:val="center"/>
          </w:tcPr>
          <w:p w14:paraId="589D317A" w14:textId="7938D298" w:rsidR="004A4753" w:rsidRPr="00D96D0B" w:rsidRDefault="004A4753" w:rsidP="004C6F29">
            <w:pPr>
              <w:jc w:val="center"/>
              <w:rPr>
                <w:rFonts w:cstheme="minorHAnsi"/>
                <w:sz w:val="18"/>
                <w:szCs w:val="18"/>
              </w:rPr>
            </w:pPr>
            <w:r w:rsidRPr="00D96D0B">
              <w:rPr>
                <w:rFonts w:cstheme="minorHAnsi"/>
                <w:sz w:val="18"/>
                <w:szCs w:val="18"/>
              </w:rPr>
              <w:t>PREOPERATIVE</w:t>
            </w:r>
          </w:p>
        </w:tc>
        <w:tc>
          <w:tcPr>
            <w:tcW w:w="1701" w:type="dxa"/>
            <w:vAlign w:val="center"/>
          </w:tcPr>
          <w:p w14:paraId="217FF12F" w14:textId="12A6CC81" w:rsidR="004A4753" w:rsidRPr="00D96D0B" w:rsidRDefault="004A4753" w:rsidP="004C6F29">
            <w:pPr>
              <w:jc w:val="center"/>
              <w:rPr>
                <w:rFonts w:cstheme="minorHAnsi"/>
                <w:sz w:val="18"/>
                <w:szCs w:val="18"/>
              </w:rPr>
            </w:pPr>
            <w:r w:rsidRPr="00D96D0B">
              <w:rPr>
                <w:rFonts w:cstheme="minorHAnsi"/>
                <w:sz w:val="18"/>
                <w:szCs w:val="18"/>
              </w:rPr>
              <w:t>INTRAOPERATIVE</w:t>
            </w:r>
          </w:p>
        </w:tc>
        <w:tc>
          <w:tcPr>
            <w:tcW w:w="1701" w:type="dxa"/>
            <w:vAlign w:val="center"/>
          </w:tcPr>
          <w:p w14:paraId="44546613" w14:textId="377E6CC0" w:rsidR="004A4753" w:rsidRPr="00D96D0B" w:rsidRDefault="004A4753" w:rsidP="004C6F29">
            <w:pPr>
              <w:jc w:val="center"/>
              <w:rPr>
                <w:rFonts w:cstheme="minorHAnsi"/>
                <w:sz w:val="18"/>
                <w:szCs w:val="18"/>
              </w:rPr>
            </w:pPr>
            <w:r w:rsidRPr="00D96D0B">
              <w:rPr>
                <w:rFonts w:cstheme="minorHAnsi"/>
                <w:sz w:val="18"/>
                <w:szCs w:val="18"/>
              </w:rPr>
              <w:t>POSTOPERATIVE</w:t>
            </w:r>
          </w:p>
        </w:tc>
        <w:tc>
          <w:tcPr>
            <w:tcW w:w="3425" w:type="dxa"/>
            <w:vAlign w:val="center"/>
          </w:tcPr>
          <w:p w14:paraId="74DCC41C" w14:textId="1EDE8F71" w:rsidR="004A4753" w:rsidRPr="00D96D0B" w:rsidRDefault="004A4753" w:rsidP="004C6F29">
            <w:pPr>
              <w:jc w:val="center"/>
              <w:rPr>
                <w:rFonts w:cstheme="minorHAnsi"/>
                <w:sz w:val="18"/>
                <w:szCs w:val="18"/>
              </w:rPr>
            </w:pPr>
            <w:r w:rsidRPr="00D96D0B">
              <w:rPr>
                <w:rFonts w:cstheme="minorHAnsi"/>
                <w:sz w:val="18"/>
                <w:szCs w:val="18"/>
              </w:rPr>
              <w:t>STUDY AUTHORS</w:t>
            </w:r>
          </w:p>
        </w:tc>
      </w:tr>
      <w:tr w:rsidR="0049224B" w:rsidRPr="00D96D0B" w14:paraId="27B5BFB7" w14:textId="77777777" w:rsidTr="004C6F29">
        <w:trPr>
          <w:cantSplit/>
          <w:trHeight w:val="112"/>
        </w:trPr>
        <w:tc>
          <w:tcPr>
            <w:tcW w:w="1617" w:type="dxa"/>
            <w:vMerge w:val="restart"/>
            <w:vAlign w:val="center"/>
          </w:tcPr>
          <w:p w14:paraId="7796C535" w14:textId="105FEC76" w:rsidR="0049224B" w:rsidRPr="00D96D0B" w:rsidRDefault="004A4753" w:rsidP="004C6F29">
            <w:pPr>
              <w:rPr>
                <w:rFonts w:cstheme="minorHAnsi"/>
                <w:sz w:val="18"/>
                <w:szCs w:val="18"/>
              </w:rPr>
            </w:pPr>
            <w:proofErr w:type="spellStart"/>
            <w:r w:rsidRPr="00D96D0B">
              <w:rPr>
                <w:rFonts w:cstheme="minorHAnsi"/>
                <w:sz w:val="18"/>
                <w:szCs w:val="18"/>
              </w:rPr>
              <w:t>Obesity</w:t>
            </w:r>
            <w:proofErr w:type="spellEnd"/>
          </w:p>
        </w:tc>
        <w:tc>
          <w:tcPr>
            <w:tcW w:w="5023" w:type="dxa"/>
            <w:gridSpan w:val="3"/>
          </w:tcPr>
          <w:p w14:paraId="6E18684E" w14:textId="60291F26" w:rsidR="0049224B" w:rsidRPr="00D96D0B" w:rsidRDefault="00815217" w:rsidP="004C6F29">
            <w:pPr>
              <w:jc w:val="center"/>
              <w:rPr>
                <w:rFonts w:cstheme="minorHAnsi"/>
                <w:sz w:val="18"/>
                <w:szCs w:val="18"/>
              </w:rPr>
            </w:pPr>
            <w:r>
              <w:rPr>
                <w:rFonts w:cstheme="minorHAnsi"/>
                <w:sz w:val="18"/>
                <w:szCs w:val="18"/>
              </w:rPr>
              <w:t>BMI</w:t>
            </w:r>
            <w:r w:rsidR="0049224B" w:rsidRPr="00D96D0B">
              <w:rPr>
                <w:rFonts w:cstheme="minorHAnsi"/>
                <w:sz w:val="18"/>
                <w:szCs w:val="18"/>
              </w:rPr>
              <w:t>&gt;25</w:t>
            </w:r>
          </w:p>
        </w:tc>
        <w:tc>
          <w:tcPr>
            <w:tcW w:w="3425" w:type="dxa"/>
            <w:shd w:val="clear" w:color="auto" w:fill="F2F2F2" w:themeFill="background1" w:themeFillShade="F2"/>
            <w:vAlign w:val="center"/>
          </w:tcPr>
          <w:p w14:paraId="39666176" w14:textId="47E4270B" w:rsidR="0049224B" w:rsidRPr="00D96D0B" w:rsidRDefault="000D7B67" w:rsidP="004C6F29">
            <w:pPr>
              <w:jc w:val="center"/>
              <w:rPr>
                <w:rFonts w:cstheme="minorHAnsi"/>
                <w:sz w:val="18"/>
                <w:szCs w:val="18"/>
              </w:rPr>
            </w:pPr>
            <w:r w:rsidRPr="00D96D0B">
              <w:rPr>
                <w:rFonts w:cs="Calibri"/>
                <w:sz w:val="18"/>
                <w:szCs w:val="18"/>
                <w:lang w:val="en-US"/>
              </w:rPr>
              <w:t>(Sodhi et al, 2020)</w:t>
            </w:r>
          </w:p>
        </w:tc>
      </w:tr>
      <w:tr w:rsidR="0049224B" w:rsidRPr="00D96D0B" w14:paraId="252353F4" w14:textId="77777777" w:rsidTr="004C6F29">
        <w:trPr>
          <w:cantSplit/>
          <w:trHeight w:val="165"/>
        </w:trPr>
        <w:tc>
          <w:tcPr>
            <w:tcW w:w="1617" w:type="dxa"/>
            <w:vMerge/>
            <w:vAlign w:val="center"/>
          </w:tcPr>
          <w:p w14:paraId="02888CC7" w14:textId="77777777" w:rsidR="0049224B" w:rsidRPr="00D96D0B" w:rsidRDefault="0049224B" w:rsidP="004C6F29">
            <w:pPr>
              <w:rPr>
                <w:rFonts w:cstheme="minorHAnsi"/>
                <w:sz w:val="18"/>
                <w:szCs w:val="18"/>
              </w:rPr>
            </w:pPr>
          </w:p>
        </w:tc>
        <w:tc>
          <w:tcPr>
            <w:tcW w:w="5023" w:type="dxa"/>
            <w:gridSpan w:val="3"/>
          </w:tcPr>
          <w:p w14:paraId="4B8D51BC" w14:textId="51BBF6A6" w:rsidR="0049224B" w:rsidRPr="00D96D0B" w:rsidRDefault="00815217" w:rsidP="004C6F29">
            <w:pPr>
              <w:jc w:val="center"/>
              <w:rPr>
                <w:rFonts w:cstheme="minorHAnsi"/>
                <w:sz w:val="18"/>
                <w:szCs w:val="18"/>
              </w:rPr>
            </w:pPr>
            <w:r>
              <w:rPr>
                <w:rFonts w:cstheme="minorHAnsi"/>
                <w:sz w:val="18"/>
                <w:szCs w:val="18"/>
              </w:rPr>
              <w:t>BMI</w:t>
            </w:r>
            <w:r w:rsidR="0049224B" w:rsidRPr="00D96D0B">
              <w:rPr>
                <w:rFonts w:cstheme="minorHAnsi"/>
                <w:sz w:val="18"/>
                <w:szCs w:val="18"/>
              </w:rPr>
              <w:t>≥30</w:t>
            </w:r>
          </w:p>
        </w:tc>
        <w:tc>
          <w:tcPr>
            <w:tcW w:w="3425" w:type="dxa"/>
            <w:shd w:val="clear" w:color="auto" w:fill="F2F2F2" w:themeFill="background1" w:themeFillShade="F2"/>
            <w:vAlign w:val="center"/>
          </w:tcPr>
          <w:p w14:paraId="07856FEC" w14:textId="3CE9F4EA" w:rsidR="0049224B" w:rsidRPr="00D96D0B" w:rsidRDefault="000D7B67" w:rsidP="004C6F29">
            <w:pPr>
              <w:jc w:val="center"/>
              <w:rPr>
                <w:rFonts w:cstheme="minorHAnsi"/>
                <w:sz w:val="18"/>
                <w:szCs w:val="18"/>
              </w:rPr>
            </w:pPr>
            <w:r w:rsidRPr="00D96D0B">
              <w:rPr>
                <w:rFonts w:cs="Calibri"/>
                <w:sz w:val="18"/>
                <w:szCs w:val="18"/>
                <w:lang w:val="en-US"/>
              </w:rPr>
              <w:t>(Baier et al, 2019)</w:t>
            </w:r>
          </w:p>
        </w:tc>
      </w:tr>
      <w:tr w:rsidR="0049224B" w:rsidRPr="00D96D0B" w14:paraId="42F449C9" w14:textId="77777777" w:rsidTr="004C6F29">
        <w:trPr>
          <w:cantSplit/>
          <w:trHeight w:val="225"/>
        </w:trPr>
        <w:tc>
          <w:tcPr>
            <w:tcW w:w="1617" w:type="dxa"/>
            <w:vMerge/>
            <w:vAlign w:val="center"/>
          </w:tcPr>
          <w:p w14:paraId="5758795A" w14:textId="77777777" w:rsidR="0049224B" w:rsidRPr="00D96D0B" w:rsidRDefault="0049224B" w:rsidP="004C6F29">
            <w:pPr>
              <w:rPr>
                <w:rFonts w:cstheme="minorHAnsi"/>
                <w:sz w:val="18"/>
                <w:szCs w:val="18"/>
              </w:rPr>
            </w:pPr>
          </w:p>
        </w:tc>
        <w:tc>
          <w:tcPr>
            <w:tcW w:w="5023" w:type="dxa"/>
            <w:gridSpan w:val="3"/>
          </w:tcPr>
          <w:p w14:paraId="783456FF" w14:textId="70F1A0D1" w:rsidR="0049224B" w:rsidRPr="00D96D0B" w:rsidRDefault="004A4753" w:rsidP="004C6F29">
            <w:pPr>
              <w:jc w:val="center"/>
              <w:rPr>
                <w:rFonts w:cstheme="minorHAnsi"/>
                <w:sz w:val="18"/>
                <w:szCs w:val="18"/>
              </w:rPr>
            </w:pPr>
            <w:proofErr w:type="spellStart"/>
            <w:r w:rsidRPr="00D96D0B">
              <w:rPr>
                <w:rFonts w:cstheme="minorHAnsi"/>
                <w:sz w:val="18"/>
                <w:szCs w:val="18"/>
              </w:rPr>
              <w:t>Pre-Patellite</w:t>
            </w:r>
            <w:proofErr w:type="spellEnd"/>
            <w:r w:rsidRPr="00D96D0B">
              <w:rPr>
                <w:rFonts w:cstheme="minorHAnsi"/>
                <w:sz w:val="18"/>
                <w:szCs w:val="18"/>
              </w:rPr>
              <w:t xml:space="preserve"> </w:t>
            </w:r>
            <w:proofErr w:type="spellStart"/>
            <w:r w:rsidRPr="00D96D0B">
              <w:rPr>
                <w:rFonts w:cstheme="minorHAnsi"/>
                <w:sz w:val="18"/>
                <w:szCs w:val="18"/>
              </w:rPr>
              <w:t>Fat</w:t>
            </w:r>
            <w:proofErr w:type="spellEnd"/>
          </w:p>
        </w:tc>
        <w:tc>
          <w:tcPr>
            <w:tcW w:w="3425" w:type="dxa"/>
            <w:shd w:val="clear" w:color="auto" w:fill="F2F2F2" w:themeFill="background1" w:themeFillShade="F2"/>
            <w:vAlign w:val="center"/>
          </w:tcPr>
          <w:p w14:paraId="0AFA64A8" w14:textId="5D97BA9B" w:rsidR="0049224B" w:rsidRPr="00D96D0B" w:rsidRDefault="00713648" w:rsidP="004C6F29">
            <w:pPr>
              <w:jc w:val="center"/>
              <w:rPr>
                <w:rFonts w:cstheme="minorHAnsi"/>
                <w:sz w:val="18"/>
                <w:szCs w:val="18"/>
              </w:rPr>
            </w:pPr>
            <w:r w:rsidRPr="00D96D0B">
              <w:rPr>
                <w:rFonts w:cs="Calibri"/>
                <w:sz w:val="18"/>
                <w:szCs w:val="18"/>
                <w:lang w:val="en-US"/>
              </w:rPr>
              <w:t>(Wagner et al, 2018)</w:t>
            </w:r>
          </w:p>
        </w:tc>
      </w:tr>
      <w:tr w:rsidR="0049224B" w:rsidRPr="00D96D0B" w14:paraId="668267A0" w14:textId="77777777" w:rsidTr="004C6F29">
        <w:trPr>
          <w:cantSplit/>
          <w:trHeight w:val="265"/>
        </w:trPr>
        <w:tc>
          <w:tcPr>
            <w:tcW w:w="1617" w:type="dxa"/>
            <w:vMerge/>
            <w:vAlign w:val="center"/>
          </w:tcPr>
          <w:p w14:paraId="30BF8C2C" w14:textId="77777777" w:rsidR="0049224B" w:rsidRPr="00D96D0B" w:rsidRDefault="0049224B" w:rsidP="004C6F29">
            <w:pPr>
              <w:rPr>
                <w:rFonts w:cstheme="minorHAnsi"/>
                <w:sz w:val="18"/>
                <w:szCs w:val="18"/>
              </w:rPr>
            </w:pPr>
          </w:p>
        </w:tc>
        <w:tc>
          <w:tcPr>
            <w:tcW w:w="5023" w:type="dxa"/>
            <w:gridSpan w:val="3"/>
            <w:vAlign w:val="center"/>
          </w:tcPr>
          <w:p w14:paraId="3F7139E5" w14:textId="317F1E87" w:rsidR="0049224B" w:rsidRPr="00D96D0B" w:rsidRDefault="004A4753" w:rsidP="004C6F29">
            <w:pPr>
              <w:jc w:val="center"/>
              <w:rPr>
                <w:rFonts w:cstheme="minorHAnsi"/>
                <w:sz w:val="18"/>
                <w:szCs w:val="18"/>
              </w:rPr>
            </w:pPr>
            <w:r w:rsidRPr="00D96D0B">
              <w:rPr>
                <w:rFonts w:cstheme="minorHAnsi"/>
                <w:sz w:val="18"/>
                <w:szCs w:val="18"/>
              </w:rPr>
              <w:t xml:space="preserve">50-55 </w:t>
            </w:r>
            <w:proofErr w:type="spellStart"/>
            <w:r w:rsidRPr="00D96D0B">
              <w:rPr>
                <w:rFonts w:cstheme="minorHAnsi"/>
                <w:sz w:val="18"/>
                <w:szCs w:val="18"/>
              </w:rPr>
              <w:t>years</w:t>
            </w:r>
            <w:proofErr w:type="spellEnd"/>
          </w:p>
        </w:tc>
        <w:tc>
          <w:tcPr>
            <w:tcW w:w="3425" w:type="dxa"/>
            <w:shd w:val="clear" w:color="auto" w:fill="F2F2F2" w:themeFill="background1" w:themeFillShade="F2"/>
            <w:vAlign w:val="center"/>
          </w:tcPr>
          <w:p w14:paraId="75C6CBB9" w14:textId="645B304F" w:rsidR="0049224B" w:rsidRPr="00D96D0B" w:rsidRDefault="000D7B67" w:rsidP="004C6F29">
            <w:pPr>
              <w:jc w:val="center"/>
              <w:rPr>
                <w:rFonts w:cstheme="minorHAnsi"/>
                <w:sz w:val="18"/>
                <w:szCs w:val="18"/>
              </w:rPr>
            </w:pPr>
            <w:r w:rsidRPr="00D96D0B">
              <w:rPr>
                <w:rFonts w:cs="Calibri"/>
                <w:sz w:val="18"/>
                <w:szCs w:val="18"/>
                <w:lang w:val="en-US"/>
              </w:rPr>
              <w:t>(Bischoff et al, 2023)</w:t>
            </w:r>
          </w:p>
        </w:tc>
      </w:tr>
      <w:tr w:rsidR="0049224B" w:rsidRPr="002E3994" w14:paraId="01313AD0" w14:textId="77777777" w:rsidTr="004C6F29">
        <w:trPr>
          <w:cantSplit/>
          <w:trHeight w:val="128"/>
        </w:trPr>
        <w:tc>
          <w:tcPr>
            <w:tcW w:w="1617" w:type="dxa"/>
            <w:vMerge w:val="restart"/>
            <w:vAlign w:val="center"/>
          </w:tcPr>
          <w:p w14:paraId="6462FFEC" w14:textId="77777777" w:rsidR="004A4753" w:rsidRPr="00D96D0B" w:rsidRDefault="004A4753" w:rsidP="004C6F29">
            <w:pPr>
              <w:rPr>
                <w:rFonts w:cstheme="minorHAnsi"/>
                <w:sz w:val="18"/>
                <w:szCs w:val="18"/>
              </w:rPr>
            </w:pPr>
            <w:proofErr w:type="spellStart"/>
            <w:r w:rsidRPr="00D96D0B">
              <w:rPr>
                <w:rFonts w:cstheme="minorHAnsi"/>
                <w:sz w:val="18"/>
                <w:szCs w:val="18"/>
              </w:rPr>
              <w:t>Surgery</w:t>
            </w:r>
            <w:proofErr w:type="spellEnd"/>
            <w:r w:rsidRPr="00D96D0B">
              <w:rPr>
                <w:rFonts w:cstheme="minorHAnsi"/>
                <w:sz w:val="18"/>
                <w:szCs w:val="18"/>
              </w:rPr>
              <w:t xml:space="preserve"> </w:t>
            </w:r>
          </w:p>
          <w:p w14:paraId="33CE42DD" w14:textId="09643572" w:rsidR="0049224B" w:rsidRPr="00D96D0B" w:rsidRDefault="004A4753" w:rsidP="004C6F29">
            <w:pPr>
              <w:rPr>
                <w:rFonts w:cstheme="minorHAnsi"/>
                <w:sz w:val="18"/>
                <w:szCs w:val="18"/>
              </w:rPr>
            </w:pPr>
            <w:proofErr w:type="spellStart"/>
            <w:r w:rsidRPr="00D96D0B">
              <w:rPr>
                <w:rFonts w:cstheme="minorHAnsi"/>
                <w:sz w:val="18"/>
                <w:szCs w:val="18"/>
              </w:rPr>
              <w:t>Duration</w:t>
            </w:r>
            <w:proofErr w:type="spellEnd"/>
          </w:p>
        </w:tc>
        <w:tc>
          <w:tcPr>
            <w:tcW w:w="1621" w:type="dxa"/>
            <w:shd w:val="clear" w:color="auto" w:fill="F2F2F2" w:themeFill="background1" w:themeFillShade="F2"/>
          </w:tcPr>
          <w:p w14:paraId="0AE7D4AE" w14:textId="77777777" w:rsidR="0049224B" w:rsidRPr="00D96D0B" w:rsidRDefault="0049224B" w:rsidP="004C6F29">
            <w:pPr>
              <w:pStyle w:val="PargrafodaLista"/>
              <w:ind w:left="461"/>
              <w:jc w:val="center"/>
              <w:rPr>
                <w:rFonts w:cstheme="minorHAnsi"/>
                <w:sz w:val="18"/>
                <w:szCs w:val="18"/>
              </w:rPr>
            </w:pPr>
          </w:p>
        </w:tc>
        <w:tc>
          <w:tcPr>
            <w:tcW w:w="1701" w:type="dxa"/>
            <w:vAlign w:val="center"/>
          </w:tcPr>
          <w:p w14:paraId="7AD6DA1E" w14:textId="1CF88257" w:rsidR="0049224B" w:rsidRPr="00D96D0B" w:rsidRDefault="0049224B" w:rsidP="004C6F29">
            <w:pPr>
              <w:pStyle w:val="PargrafodaLista"/>
              <w:ind w:left="458"/>
              <w:rPr>
                <w:rFonts w:cstheme="minorHAnsi"/>
                <w:sz w:val="18"/>
                <w:szCs w:val="18"/>
              </w:rPr>
            </w:pPr>
            <w:r w:rsidRPr="00D96D0B">
              <w:rPr>
                <w:rFonts w:cstheme="minorHAnsi"/>
                <w:sz w:val="18"/>
                <w:szCs w:val="18"/>
              </w:rPr>
              <w:t>&gt;</w:t>
            </w:r>
            <w:proofErr w:type="spellStart"/>
            <w:r w:rsidR="004A4753" w:rsidRPr="00D96D0B">
              <w:rPr>
                <w:rFonts w:cstheme="minorHAnsi"/>
                <w:sz w:val="18"/>
                <w:szCs w:val="18"/>
              </w:rPr>
              <w:t>Duration</w:t>
            </w:r>
            <w:proofErr w:type="spellEnd"/>
          </w:p>
        </w:tc>
        <w:tc>
          <w:tcPr>
            <w:tcW w:w="1701" w:type="dxa"/>
            <w:shd w:val="clear" w:color="auto" w:fill="F2F2F2" w:themeFill="background1" w:themeFillShade="F2"/>
          </w:tcPr>
          <w:p w14:paraId="1F7AB8F8" w14:textId="77777777" w:rsidR="0049224B" w:rsidRPr="00D96D0B" w:rsidRDefault="0049224B" w:rsidP="004C6F29">
            <w:pPr>
              <w:jc w:val="center"/>
              <w:rPr>
                <w:rFonts w:cstheme="minorHAnsi"/>
                <w:sz w:val="18"/>
                <w:szCs w:val="18"/>
              </w:rPr>
            </w:pPr>
          </w:p>
        </w:tc>
        <w:tc>
          <w:tcPr>
            <w:tcW w:w="3425" w:type="dxa"/>
            <w:shd w:val="clear" w:color="auto" w:fill="F2F2F2" w:themeFill="background1" w:themeFillShade="F2"/>
            <w:vAlign w:val="center"/>
          </w:tcPr>
          <w:p w14:paraId="4216D68A" w14:textId="24C0650A" w:rsidR="0049224B" w:rsidRPr="00D96D0B" w:rsidRDefault="000D7B67" w:rsidP="004C6F29">
            <w:pPr>
              <w:jc w:val="center"/>
              <w:rPr>
                <w:rFonts w:cstheme="minorHAnsi"/>
                <w:sz w:val="18"/>
                <w:szCs w:val="18"/>
                <w:lang w:val="en-US"/>
              </w:rPr>
            </w:pPr>
            <w:r w:rsidRPr="00D96D0B">
              <w:rPr>
                <w:rFonts w:cs="Calibri"/>
                <w:sz w:val="18"/>
                <w:szCs w:val="18"/>
                <w:lang w:val="en-US"/>
              </w:rPr>
              <w:t>(Bischoff et al, 2023</w:t>
            </w:r>
            <w:r w:rsidR="0049224B" w:rsidRPr="00D96D0B">
              <w:rPr>
                <w:rFonts w:cstheme="minorHAnsi"/>
                <w:sz w:val="18"/>
                <w:szCs w:val="18"/>
                <w:lang w:val="en-US"/>
              </w:rPr>
              <w:t xml:space="preserve">; </w:t>
            </w:r>
            <w:r w:rsidRPr="00D96D0B">
              <w:rPr>
                <w:rFonts w:cs="Calibri"/>
                <w:sz w:val="18"/>
                <w:szCs w:val="18"/>
                <w:lang w:val="en-US"/>
              </w:rPr>
              <w:t>Bohl et al, 2018</w:t>
            </w:r>
            <w:r w:rsidR="0049224B" w:rsidRPr="00D96D0B">
              <w:rPr>
                <w:rFonts w:cstheme="minorHAnsi"/>
                <w:sz w:val="18"/>
                <w:szCs w:val="18"/>
                <w:lang w:val="en-US"/>
              </w:rPr>
              <w:t xml:space="preserve">; </w:t>
            </w:r>
            <w:r w:rsidRPr="00D96D0B">
              <w:rPr>
                <w:rFonts w:cs="Calibri"/>
                <w:sz w:val="18"/>
                <w:szCs w:val="18"/>
                <w:lang w:val="en-US"/>
              </w:rPr>
              <w:t>Hanada et al, 2020</w:t>
            </w:r>
            <w:r w:rsidR="0049224B" w:rsidRPr="00D96D0B">
              <w:rPr>
                <w:rFonts w:cstheme="minorHAnsi"/>
                <w:sz w:val="18"/>
                <w:szCs w:val="18"/>
                <w:lang w:val="en-US"/>
              </w:rPr>
              <w:t xml:space="preserve">; </w:t>
            </w:r>
            <w:r w:rsidRPr="00D96D0B">
              <w:rPr>
                <w:rFonts w:cs="Calibri"/>
                <w:sz w:val="18"/>
                <w:szCs w:val="18"/>
                <w:lang w:val="en-US"/>
              </w:rPr>
              <w:t>Anis et al, 2019</w:t>
            </w:r>
            <w:r w:rsidR="0049224B" w:rsidRPr="00D96D0B">
              <w:rPr>
                <w:rFonts w:cstheme="minorHAnsi"/>
                <w:sz w:val="18"/>
                <w:szCs w:val="18"/>
                <w:lang w:val="en-US"/>
              </w:rPr>
              <w:t xml:space="preserve">; </w:t>
            </w:r>
            <w:r w:rsidR="00713648" w:rsidRPr="00D96D0B">
              <w:rPr>
                <w:rFonts w:cs="Calibri"/>
                <w:sz w:val="18"/>
                <w:szCs w:val="18"/>
                <w:lang w:val="en-US"/>
              </w:rPr>
              <w:t>Teo et al, 2018)</w:t>
            </w:r>
          </w:p>
        </w:tc>
      </w:tr>
      <w:tr w:rsidR="0049224B" w:rsidRPr="00D96D0B" w14:paraId="6E624592" w14:textId="77777777" w:rsidTr="004C6F29">
        <w:trPr>
          <w:cantSplit/>
          <w:trHeight w:val="20"/>
        </w:trPr>
        <w:tc>
          <w:tcPr>
            <w:tcW w:w="1617" w:type="dxa"/>
            <w:vMerge/>
            <w:vAlign w:val="center"/>
          </w:tcPr>
          <w:p w14:paraId="58A9E666" w14:textId="77777777" w:rsidR="0049224B" w:rsidRPr="00D96D0B" w:rsidRDefault="0049224B" w:rsidP="004C6F29">
            <w:pPr>
              <w:rPr>
                <w:rFonts w:cstheme="minorHAnsi"/>
                <w:sz w:val="18"/>
                <w:szCs w:val="18"/>
                <w:lang w:val="en-US"/>
              </w:rPr>
            </w:pPr>
          </w:p>
        </w:tc>
        <w:tc>
          <w:tcPr>
            <w:tcW w:w="1621" w:type="dxa"/>
            <w:shd w:val="clear" w:color="auto" w:fill="F2F2F2" w:themeFill="background1" w:themeFillShade="F2"/>
          </w:tcPr>
          <w:p w14:paraId="08F8B0AC" w14:textId="77777777" w:rsidR="0049224B" w:rsidRPr="00D96D0B" w:rsidRDefault="0049224B" w:rsidP="004C6F29">
            <w:pPr>
              <w:pStyle w:val="PargrafodaLista"/>
              <w:ind w:left="461"/>
              <w:jc w:val="center"/>
              <w:rPr>
                <w:rFonts w:cstheme="minorHAnsi"/>
                <w:sz w:val="18"/>
                <w:szCs w:val="18"/>
                <w:lang w:val="en-US"/>
              </w:rPr>
            </w:pPr>
          </w:p>
        </w:tc>
        <w:tc>
          <w:tcPr>
            <w:tcW w:w="1701" w:type="dxa"/>
          </w:tcPr>
          <w:p w14:paraId="479E7EB7" w14:textId="17377EB5" w:rsidR="0049224B" w:rsidRPr="00D96D0B" w:rsidRDefault="0049224B" w:rsidP="004C6F29">
            <w:pPr>
              <w:jc w:val="center"/>
              <w:rPr>
                <w:rFonts w:cstheme="minorHAnsi"/>
                <w:sz w:val="18"/>
                <w:szCs w:val="18"/>
              </w:rPr>
            </w:pPr>
            <w:r w:rsidRPr="00D96D0B">
              <w:rPr>
                <w:rFonts w:cstheme="minorHAnsi"/>
                <w:sz w:val="18"/>
                <w:szCs w:val="18"/>
              </w:rPr>
              <w:t xml:space="preserve">&gt;90 </w:t>
            </w:r>
            <w:r w:rsidR="004A4753" w:rsidRPr="00D96D0B">
              <w:rPr>
                <w:rFonts w:cstheme="minorHAnsi"/>
                <w:sz w:val="18"/>
                <w:szCs w:val="18"/>
              </w:rPr>
              <w:t>minutes</w:t>
            </w:r>
          </w:p>
        </w:tc>
        <w:tc>
          <w:tcPr>
            <w:tcW w:w="1701" w:type="dxa"/>
            <w:shd w:val="clear" w:color="auto" w:fill="F2F2F2" w:themeFill="background1" w:themeFillShade="F2"/>
          </w:tcPr>
          <w:p w14:paraId="26701038" w14:textId="77777777" w:rsidR="0049224B" w:rsidRPr="00D96D0B" w:rsidRDefault="0049224B" w:rsidP="004C6F29">
            <w:pPr>
              <w:jc w:val="center"/>
              <w:rPr>
                <w:rFonts w:cstheme="minorHAnsi"/>
                <w:sz w:val="18"/>
                <w:szCs w:val="18"/>
              </w:rPr>
            </w:pPr>
          </w:p>
        </w:tc>
        <w:tc>
          <w:tcPr>
            <w:tcW w:w="3425" w:type="dxa"/>
            <w:shd w:val="clear" w:color="auto" w:fill="F2F2F2" w:themeFill="background1" w:themeFillShade="F2"/>
            <w:vAlign w:val="center"/>
          </w:tcPr>
          <w:p w14:paraId="342AF0BD" w14:textId="506A2F6A" w:rsidR="0049224B" w:rsidRPr="00D96D0B" w:rsidRDefault="000D7B67" w:rsidP="004C6F29">
            <w:pPr>
              <w:jc w:val="center"/>
              <w:rPr>
                <w:rFonts w:cstheme="minorHAnsi"/>
                <w:sz w:val="18"/>
                <w:szCs w:val="18"/>
              </w:rPr>
            </w:pPr>
            <w:r w:rsidRPr="00D96D0B">
              <w:rPr>
                <w:rFonts w:cs="Calibri"/>
                <w:sz w:val="18"/>
                <w:szCs w:val="18"/>
                <w:lang w:val="en-US"/>
              </w:rPr>
              <w:t>(Wang et al, 2019)</w:t>
            </w:r>
          </w:p>
        </w:tc>
      </w:tr>
      <w:tr w:rsidR="0049224B" w:rsidRPr="00D96D0B" w14:paraId="4E48617B" w14:textId="77777777" w:rsidTr="004C6F29">
        <w:trPr>
          <w:cantSplit/>
          <w:trHeight w:val="288"/>
        </w:trPr>
        <w:tc>
          <w:tcPr>
            <w:tcW w:w="1617" w:type="dxa"/>
            <w:vMerge/>
            <w:vAlign w:val="center"/>
          </w:tcPr>
          <w:p w14:paraId="4B13D3BF" w14:textId="77777777" w:rsidR="0049224B" w:rsidRPr="00D96D0B" w:rsidRDefault="0049224B" w:rsidP="004C6F29">
            <w:pPr>
              <w:rPr>
                <w:rFonts w:cstheme="minorHAnsi"/>
                <w:sz w:val="18"/>
                <w:szCs w:val="18"/>
              </w:rPr>
            </w:pPr>
          </w:p>
        </w:tc>
        <w:tc>
          <w:tcPr>
            <w:tcW w:w="1621" w:type="dxa"/>
            <w:shd w:val="clear" w:color="auto" w:fill="F2F2F2" w:themeFill="background1" w:themeFillShade="F2"/>
          </w:tcPr>
          <w:p w14:paraId="52AF1AD5" w14:textId="77777777" w:rsidR="0049224B" w:rsidRPr="00D96D0B" w:rsidRDefault="0049224B" w:rsidP="004C6F29">
            <w:pPr>
              <w:pStyle w:val="PargrafodaLista"/>
              <w:ind w:left="461"/>
              <w:jc w:val="center"/>
              <w:rPr>
                <w:rFonts w:cstheme="minorHAnsi"/>
                <w:sz w:val="18"/>
                <w:szCs w:val="18"/>
              </w:rPr>
            </w:pPr>
          </w:p>
        </w:tc>
        <w:tc>
          <w:tcPr>
            <w:tcW w:w="1701" w:type="dxa"/>
          </w:tcPr>
          <w:p w14:paraId="22A52C0E" w14:textId="099ABCAB" w:rsidR="0049224B" w:rsidRPr="00D96D0B" w:rsidRDefault="0049224B" w:rsidP="004C6F29">
            <w:pPr>
              <w:jc w:val="center"/>
              <w:rPr>
                <w:rFonts w:cstheme="minorHAnsi"/>
                <w:sz w:val="18"/>
                <w:szCs w:val="18"/>
              </w:rPr>
            </w:pPr>
            <w:r w:rsidRPr="00D96D0B">
              <w:rPr>
                <w:rFonts w:cstheme="minorHAnsi"/>
                <w:sz w:val="18"/>
                <w:szCs w:val="18"/>
              </w:rPr>
              <w:t xml:space="preserve">&gt;120 </w:t>
            </w:r>
            <w:r w:rsidR="004A4753" w:rsidRPr="00D96D0B">
              <w:rPr>
                <w:rFonts w:cstheme="minorHAnsi"/>
                <w:sz w:val="18"/>
                <w:szCs w:val="18"/>
              </w:rPr>
              <w:t>minutes</w:t>
            </w:r>
          </w:p>
        </w:tc>
        <w:tc>
          <w:tcPr>
            <w:tcW w:w="1701" w:type="dxa"/>
            <w:shd w:val="clear" w:color="auto" w:fill="F2F2F2" w:themeFill="background1" w:themeFillShade="F2"/>
          </w:tcPr>
          <w:p w14:paraId="3597E449" w14:textId="77777777" w:rsidR="0049224B" w:rsidRPr="00D96D0B" w:rsidRDefault="0049224B" w:rsidP="004C6F29">
            <w:pPr>
              <w:jc w:val="center"/>
              <w:rPr>
                <w:rFonts w:cstheme="minorHAnsi"/>
                <w:sz w:val="18"/>
                <w:szCs w:val="18"/>
              </w:rPr>
            </w:pPr>
          </w:p>
        </w:tc>
        <w:tc>
          <w:tcPr>
            <w:tcW w:w="3425" w:type="dxa"/>
            <w:shd w:val="clear" w:color="auto" w:fill="F2F2F2" w:themeFill="background1" w:themeFillShade="F2"/>
            <w:vAlign w:val="center"/>
          </w:tcPr>
          <w:p w14:paraId="1F1D9E23" w14:textId="625440BB" w:rsidR="0049224B" w:rsidRPr="00D96D0B" w:rsidRDefault="000D7B67" w:rsidP="004C6F29">
            <w:pPr>
              <w:jc w:val="center"/>
              <w:rPr>
                <w:rFonts w:cstheme="minorHAnsi"/>
                <w:sz w:val="18"/>
                <w:szCs w:val="18"/>
              </w:rPr>
            </w:pPr>
            <w:r w:rsidRPr="00D96D0B">
              <w:rPr>
                <w:rFonts w:cs="Calibri"/>
                <w:sz w:val="18"/>
                <w:szCs w:val="18"/>
              </w:rPr>
              <w:t>(</w:t>
            </w:r>
            <w:proofErr w:type="spellStart"/>
            <w:r w:rsidRPr="00D96D0B">
              <w:rPr>
                <w:rFonts w:cs="Calibri"/>
                <w:sz w:val="18"/>
                <w:szCs w:val="18"/>
              </w:rPr>
              <w:t>Falótico</w:t>
            </w:r>
            <w:proofErr w:type="spellEnd"/>
            <w:r w:rsidRPr="00D96D0B">
              <w:rPr>
                <w:rFonts w:cs="Calibri"/>
                <w:sz w:val="18"/>
                <w:szCs w:val="18"/>
              </w:rPr>
              <w:t xml:space="preserve"> </w:t>
            </w:r>
            <w:proofErr w:type="spellStart"/>
            <w:r w:rsidRPr="00D96D0B">
              <w:rPr>
                <w:rFonts w:cs="Calibri"/>
                <w:sz w:val="18"/>
                <w:szCs w:val="18"/>
              </w:rPr>
              <w:t>et</w:t>
            </w:r>
            <w:proofErr w:type="spellEnd"/>
            <w:r w:rsidRPr="00D96D0B">
              <w:rPr>
                <w:rFonts w:cs="Calibri"/>
                <w:sz w:val="18"/>
                <w:szCs w:val="18"/>
              </w:rPr>
              <w:t xml:space="preserve"> al, 2022)</w:t>
            </w:r>
          </w:p>
        </w:tc>
      </w:tr>
      <w:tr w:rsidR="0049224B" w:rsidRPr="00D96D0B" w14:paraId="1410680F" w14:textId="77777777" w:rsidTr="004C6F29">
        <w:trPr>
          <w:cantSplit/>
          <w:trHeight w:val="263"/>
        </w:trPr>
        <w:tc>
          <w:tcPr>
            <w:tcW w:w="1617" w:type="dxa"/>
            <w:vMerge/>
            <w:vAlign w:val="center"/>
          </w:tcPr>
          <w:p w14:paraId="49D09170" w14:textId="77777777" w:rsidR="0049224B" w:rsidRPr="00D96D0B" w:rsidRDefault="0049224B" w:rsidP="004C6F29">
            <w:pPr>
              <w:rPr>
                <w:rFonts w:cstheme="minorHAnsi"/>
                <w:sz w:val="18"/>
                <w:szCs w:val="18"/>
              </w:rPr>
            </w:pPr>
          </w:p>
        </w:tc>
        <w:tc>
          <w:tcPr>
            <w:tcW w:w="1621" w:type="dxa"/>
            <w:shd w:val="clear" w:color="auto" w:fill="F2F2F2" w:themeFill="background1" w:themeFillShade="F2"/>
          </w:tcPr>
          <w:p w14:paraId="616842C9" w14:textId="77777777" w:rsidR="0049224B" w:rsidRPr="00D96D0B" w:rsidRDefault="0049224B" w:rsidP="004C6F29">
            <w:pPr>
              <w:pStyle w:val="PargrafodaLista"/>
              <w:ind w:left="461"/>
              <w:jc w:val="center"/>
              <w:rPr>
                <w:rFonts w:cstheme="minorHAnsi"/>
                <w:sz w:val="18"/>
                <w:szCs w:val="18"/>
              </w:rPr>
            </w:pPr>
          </w:p>
        </w:tc>
        <w:tc>
          <w:tcPr>
            <w:tcW w:w="1701" w:type="dxa"/>
          </w:tcPr>
          <w:p w14:paraId="77D715B2" w14:textId="436C8002" w:rsidR="0049224B" w:rsidRPr="00D96D0B" w:rsidRDefault="0049224B" w:rsidP="004C6F29">
            <w:pPr>
              <w:jc w:val="center"/>
              <w:rPr>
                <w:rFonts w:cstheme="minorHAnsi"/>
                <w:sz w:val="18"/>
                <w:szCs w:val="18"/>
              </w:rPr>
            </w:pPr>
            <w:r w:rsidRPr="00D96D0B">
              <w:rPr>
                <w:rFonts w:cstheme="minorHAnsi"/>
                <w:sz w:val="18"/>
                <w:szCs w:val="18"/>
              </w:rPr>
              <w:t xml:space="preserve">&gt;180 </w:t>
            </w:r>
            <w:r w:rsidR="004A4753" w:rsidRPr="00D96D0B">
              <w:rPr>
                <w:rFonts w:cstheme="minorHAnsi"/>
                <w:sz w:val="18"/>
                <w:szCs w:val="18"/>
              </w:rPr>
              <w:t>minutes</w:t>
            </w:r>
          </w:p>
        </w:tc>
        <w:tc>
          <w:tcPr>
            <w:tcW w:w="1701" w:type="dxa"/>
            <w:shd w:val="clear" w:color="auto" w:fill="F2F2F2" w:themeFill="background1" w:themeFillShade="F2"/>
          </w:tcPr>
          <w:p w14:paraId="11685776" w14:textId="77777777" w:rsidR="0049224B" w:rsidRPr="00D96D0B" w:rsidRDefault="0049224B" w:rsidP="004C6F29">
            <w:pPr>
              <w:jc w:val="center"/>
              <w:rPr>
                <w:rFonts w:cstheme="minorHAnsi"/>
                <w:sz w:val="18"/>
                <w:szCs w:val="18"/>
              </w:rPr>
            </w:pPr>
          </w:p>
        </w:tc>
        <w:tc>
          <w:tcPr>
            <w:tcW w:w="3425" w:type="dxa"/>
            <w:shd w:val="clear" w:color="auto" w:fill="F2F2F2" w:themeFill="background1" w:themeFillShade="F2"/>
            <w:vAlign w:val="center"/>
          </w:tcPr>
          <w:p w14:paraId="6AEFFED7" w14:textId="5AACBCD8" w:rsidR="0049224B" w:rsidRPr="00D96D0B" w:rsidRDefault="000D7B67" w:rsidP="004C6F29">
            <w:pPr>
              <w:jc w:val="center"/>
              <w:rPr>
                <w:rFonts w:cstheme="minorHAnsi"/>
                <w:sz w:val="18"/>
                <w:szCs w:val="18"/>
              </w:rPr>
            </w:pPr>
            <w:r w:rsidRPr="00D96D0B">
              <w:rPr>
                <w:rFonts w:cs="Calibri"/>
                <w:sz w:val="18"/>
                <w:szCs w:val="18"/>
                <w:lang w:val="en-US"/>
              </w:rPr>
              <w:t>(Baier et al, 2019)</w:t>
            </w:r>
          </w:p>
        </w:tc>
      </w:tr>
      <w:tr w:rsidR="0049224B" w:rsidRPr="00D96D0B" w14:paraId="60D425E6" w14:textId="77777777" w:rsidTr="004C6F29">
        <w:trPr>
          <w:cantSplit/>
          <w:trHeight w:val="282"/>
        </w:trPr>
        <w:tc>
          <w:tcPr>
            <w:tcW w:w="1617" w:type="dxa"/>
            <w:vMerge/>
            <w:vAlign w:val="center"/>
          </w:tcPr>
          <w:p w14:paraId="5474B4EE" w14:textId="77777777" w:rsidR="0049224B" w:rsidRPr="00D96D0B" w:rsidRDefault="0049224B" w:rsidP="004C6F29">
            <w:pPr>
              <w:rPr>
                <w:rFonts w:cstheme="minorHAnsi"/>
                <w:sz w:val="18"/>
                <w:szCs w:val="18"/>
              </w:rPr>
            </w:pPr>
          </w:p>
        </w:tc>
        <w:tc>
          <w:tcPr>
            <w:tcW w:w="1621" w:type="dxa"/>
            <w:shd w:val="clear" w:color="auto" w:fill="F2F2F2" w:themeFill="background1" w:themeFillShade="F2"/>
          </w:tcPr>
          <w:p w14:paraId="1C4DF21E" w14:textId="77777777" w:rsidR="0049224B" w:rsidRPr="00D96D0B" w:rsidRDefault="0049224B" w:rsidP="004C6F29">
            <w:pPr>
              <w:pStyle w:val="PargrafodaLista"/>
              <w:ind w:left="461"/>
              <w:jc w:val="center"/>
              <w:rPr>
                <w:rFonts w:cstheme="minorHAnsi"/>
                <w:sz w:val="18"/>
                <w:szCs w:val="18"/>
              </w:rPr>
            </w:pPr>
          </w:p>
        </w:tc>
        <w:tc>
          <w:tcPr>
            <w:tcW w:w="1701" w:type="dxa"/>
          </w:tcPr>
          <w:p w14:paraId="754E32B3" w14:textId="77ED5CD6" w:rsidR="0049224B" w:rsidRPr="00D96D0B" w:rsidRDefault="004A4753" w:rsidP="004C6F29">
            <w:pPr>
              <w:jc w:val="center"/>
              <w:rPr>
                <w:rFonts w:cstheme="minorHAnsi"/>
                <w:sz w:val="18"/>
                <w:szCs w:val="18"/>
              </w:rPr>
            </w:pPr>
            <w:r w:rsidRPr="00D96D0B">
              <w:rPr>
                <w:rFonts w:cstheme="minorHAnsi"/>
                <w:sz w:val="18"/>
                <w:szCs w:val="18"/>
              </w:rPr>
              <w:t xml:space="preserve">ATJ Bilateral </w:t>
            </w:r>
            <w:proofErr w:type="spellStart"/>
            <w:r w:rsidRPr="00D96D0B">
              <w:rPr>
                <w:rFonts w:cstheme="minorHAnsi"/>
                <w:sz w:val="18"/>
                <w:szCs w:val="18"/>
              </w:rPr>
              <w:t>and</w:t>
            </w:r>
            <w:proofErr w:type="spellEnd"/>
            <w:r w:rsidRPr="00D96D0B">
              <w:rPr>
                <w:rFonts w:cstheme="minorHAnsi"/>
                <w:sz w:val="18"/>
                <w:szCs w:val="18"/>
              </w:rPr>
              <w:t xml:space="preserve"> </w:t>
            </w:r>
            <w:proofErr w:type="spellStart"/>
            <w:r w:rsidRPr="00D96D0B">
              <w:rPr>
                <w:rFonts w:cstheme="minorHAnsi"/>
                <w:sz w:val="18"/>
                <w:szCs w:val="18"/>
              </w:rPr>
              <w:t>Review</w:t>
            </w:r>
            <w:proofErr w:type="spellEnd"/>
          </w:p>
        </w:tc>
        <w:tc>
          <w:tcPr>
            <w:tcW w:w="1701" w:type="dxa"/>
            <w:shd w:val="clear" w:color="auto" w:fill="F2F2F2" w:themeFill="background1" w:themeFillShade="F2"/>
          </w:tcPr>
          <w:p w14:paraId="53FBFA02" w14:textId="77777777" w:rsidR="0049224B" w:rsidRPr="00D96D0B" w:rsidRDefault="0049224B" w:rsidP="004C6F29">
            <w:pPr>
              <w:jc w:val="center"/>
              <w:rPr>
                <w:rFonts w:cstheme="minorHAnsi"/>
                <w:sz w:val="18"/>
                <w:szCs w:val="18"/>
              </w:rPr>
            </w:pPr>
          </w:p>
        </w:tc>
        <w:tc>
          <w:tcPr>
            <w:tcW w:w="3425" w:type="dxa"/>
            <w:shd w:val="clear" w:color="auto" w:fill="F2F2F2" w:themeFill="background1" w:themeFillShade="F2"/>
            <w:vAlign w:val="center"/>
          </w:tcPr>
          <w:p w14:paraId="04B2F7AC" w14:textId="6E601F93" w:rsidR="0049224B" w:rsidRPr="00D96D0B" w:rsidRDefault="00713648" w:rsidP="004C6F29">
            <w:pPr>
              <w:jc w:val="center"/>
              <w:rPr>
                <w:rFonts w:cstheme="minorHAnsi"/>
                <w:sz w:val="18"/>
                <w:szCs w:val="18"/>
              </w:rPr>
            </w:pPr>
            <w:r w:rsidRPr="00D96D0B">
              <w:rPr>
                <w:rFonts w:cs="Calibri"/>
                <w:sz w:val="18"/>
                <w:szCs w:val="18"/>
                <w:lang w:val="en-US"/>
              </w:rPr>
              <w:t>(Ko et al, 2021)</w:t>
            </w:r>
          </w:p>
        </w:tc>
      </w:tr>
      <w:tr w:rsidR="0049224B" w:rsidRPr="00D96D0B" w14:paraId="74173538" w14:textId="77777777" w:rsidTr="004C6F29">
        <w:trPr>
          <w:cantSplit/>
          <w:trHeight w:val="242"/>
        </w:trPr>
        <w:tc>
          <w:tcPr>
            <w:tcW w:w="1617" w:type="dxa"/>
            <w:vMerge/>
            <w:vAlign w:val="center"/>
          </w:tcPr>
          <w:p w14:paraId="45BECD09" w14:textId="77777777" w:rsidR="0049224B" w:rsidRPr="00D96D0B" w:rsidRDefault="0049224B" w:rsidP="004C6F29">
            <w:pPr>
              <w:rPr>
                <w:rFonts w:cstheme="minorHAnsi"/>
                <w:sz w:val="18"/>
                <w:szCs w:val="18"/>
              </w:rPr>
            </w:pPr>
          </w:p>
        </w:tc>
        <w:tc>
          <w:tcPr>
            <w:tcW w:w="1621" w:type="dxa"/>
            <w:shd w:val="clear" w:color="auto" w:fill="F2F2F2" w:themeFill="background1" w:themeFillShade="F2"/>
          </w:tcPr>
          <w:p w14:paraId="43CC9C00" w14:textId="77777777" w:rsidR="0049224B" w:rsidRPr="00D96D0B" w:rsidRDefault="0049224B" w:rsidP="004C6F29">
            <w:pPr>
              <w:pStyle w:val="PargrafodaLista"/>
              <w:ind w:left="461"/>
              <w:jc w:val="center"/>
              <w:rPr>
                <w:rFonts w:cstheme="minorHAnsi"/>
                <w:sz w:val="18"/>
                <w:szCs w:val="18"/>
              </w:rPr>
            </w:pPr>
          </w:p>
        </w:tc>
        <w:tc>
          <w:tcPr>
            <w:tcW w:w="1701" w:type="dxa"/>
            <w:shd w:val="clear" w:color="auto" w:fill="F2F2F2" w:themeFill="background1" w:themeFillShade="F2"/>
          </w:tcPr>
          <w:p w14:paraId="1B897BA7" w14:textId="77777777" w:rsidR="0049224B" w:rsidRPr="00D96D0B" w:rsidRDefault="0049224B" w:rsidP="004C6F29">
            <w:pPr>
              <w:jc w:val="center"/>
              <w:rPr>
                <w:rFonts w:cstheme="minorHAnsi"/>
                <w:sz w:val="18"/>
                <w:szCs w:val="18"/>
              </w:rPr>
            </w:pPr>
          </w:p>
        </w:tc>
        <w:tc>
          <w:tcPr>
            <w:tcW w:w="1701" w:type="dxa"/>
          </w:tcPr>
          <w:p w14:paraId="04596C5F" w14:textId="0B0647C1" w:rsidR="0049224B" w:rsidRPr="00D96D0B" w:rsidRDefault="00A760D5" w:rsidP="004C6F29">
            <w:pPr>
              <w:jc w:val="center"/>
              <w:rPr>
                <w:rFonts w:cstheme="minorHAnsi"/>
                <w:sz w:val="18"/>
                <w:szCs w:val="18"/>
              </w:rPr>
            </w:pPr>
            <w:proofErr w:type="spellStart"/>
            <w:r w:rsidRPr="00D96D0B">
              <w:rPr>
                <w:rFonts w:cstheme="minorHAnsi"/>
                <w:sz w:val="18"/>
                <w:szCs w:val="18"/>
              </w:rPr>
              <w:t>Internment</w:t>
            </w:r>
            <w:proofErr w:type="spellEnd"/>
            <w:r w:rsidRPr="00D96D0B">
              <w:rPr>
                <w:rFonts w:cstheme="minorHAnsi"/>
                <w:sz w:val="18"/>
                <w:szCs w:val="18"/>
              </w:rPr>
              <w:t xml:space="preserve">&gt; 35 </w:t>
            </w:r>
            <w:proofErr w:type="spellStart"/>
            <w:r w:rsidRPr="00D96D0B">
              <w:rPr>
                <w:rFonts w:cstheme="minorHAnsi"/>
                <w:sz w:val="18"/>
                <w:szCs w:val="18"/>
              </w:rPr>
              <w:t>days</w:t>
            </w:r>
            <w:proofErr w:type="spellEnd"/>
          </w:p>
        </w:tc>
        <w:tc>
          <w:tcPr>
            <w:tcW w:w="3425" w:type="dxa"/>
            <w:shd w:val="clear" w:color="auto" w:fill="F2F2F2" w:themeFill="background1" w:themeFillShade="F2"/>
            <w:vAlign w:val="center"/>
          </w:tcPr>
          <w:p w14:paraId="759F1C8D" w14:textId="5C24EE6F" w:rsidR="0049224B" w:rsidRPr="00D96D0B" w:rsidRDefault="00713648" w:rsidP="004C6F29">
            <w:pPr>
              <w:jc w:val="center"/>
              <w:rPr>
                <w:rFonts w:cstheme="minorHAnsi"/>
                <w:sz w:val="18"/>
                <w:szCs w:val="18"/>
              </w:rPr>
            </w:pPr>
            <w:r w:rsidRPr="00D96D0B">
              <w:rPr>
                <w:rFonts w:cs="Calibri"/>
                <w:sz w:val="18"/>
                <w:szCs w:val="18"/>
                <w:lang w:val="en-US"/>
              </w:rPr>
              <w:t>(Ko et al, 2021)</w:t>
            </w:r>
          </w:p>
        </w:tc>
      </w:tr>
      <w:tr w:rsidR="0049224B" w:rsidRPr="00D96D0B" w14:paraId="74F80D8A" w14:textId="77777777" w:rsidTr="004C6F29">
        <w:trPr>
          <w:cantSplit/>
          <w:trHeight w:val="377"/>
        </w:trPr>
        <w:tc>
          <w:tcPr>
            <w:tcW w:w="1617" w:type="dxa"/>
            <w:vAlign w:val="center"/>
          </w:tcPr>
          <w:p w14:paraId="3961AA0B" w14:textId="4C2B27F3" w:rsidR="0049224B" w:rsidRPr="00D96D0B" w:rsidRDefault="00A760D5" w:rsidP="004C6F29">
            <w:pPr>
              <w:rPr>
                <w:rFonts w:cstheme="minorHAnsi"/>
                <w:sz w:val="18"/>
                <w:szCs w:val="18"/>
              </w:rPr>
            </w:pPr>
            <w:proofErr w:type="spellStart"/>
            <w:r w:rsidRPr="00D96D0B">
              <w:rPr>
                <w:rFonts w:cstheme="minorHAnsi"/>
                <w:sz w:val="18"/>
                <w:szCs w:val="18"/>
              </w:rPr>
              <w:t>Nutritional</w:t>
            </w:r>
            <w:proofErr w:type="spellEnd"/>
            <w:r w:rsidRPr="00D96D0B">
              <w:rPr>
                <w:rFonts w:cstheme="minorHAnsi"/>
                <w:sz w:val="18"/>
                <w:szCs w:val="18"/>
              </w:rPr>
              <w:t xml:space="preserve"> status</w:t>
            </w:r>
          </w:p>
        </w:tc>
        <w:tc>
          <w:tcPr>
            <w:tcW w:w="5023" w:type="dxa"/>
            <w:gridSpan w:val="3"/>
            <w:vAlign w:val="center"/>
          </w:tcPr>
          <w:p w14:paraId="72C535D8" w14:textId="77777777" w:rsidR="0049224B" w:rsidRPr="00D96D0B" w:rsidRDefault="0049224B" w:rsidP="004C6F29">
            <w:pPr>
              <w:jc w:val="center"/>
              <w:rPr>
                <w:rFonts w:cstheme="minorHAnsi"/>
                <w:sz w:val="18"/>
                <w:szCs w:val="18"/>
              </w:rPr>
            </w:pPr>
            <w:r w:rsidRPr="00D96D0B">
              <w:rPr>
                <w:rFonts w:cstheme="minorHAnsi"/>
                <w:sz w:val="18"/>
                <w:szCs w:val="18"/>
              </w:rPr>
              <w:t>Desnutrição</w:t>
            </w:r>
          </w:p>
        </w:tc>
        <w:tc>
          <w:tcPr>
            <w:tcW w:w="3425" w:type="dxa"/>
            <w:shd w:val="clear" w:color="auto" w:fill="F2F2F2" w:themeFill="background1" w:themeFillShade="F2"/>
            <w:vAlign w:val="center"/>
          </w:tcPr>
          <w:p w14:paraId="12AF951C" w14:textId="0B256668" w:rsidR="0049224B" w:rsidRPr="00D96D0B" w:rsidRDefault="000D7B67" w:rsidP="004C6F29">
            <w:pPr>
              <w:jc w:val="center"/>
              <w:rPr>
                <w:rFonts w:cstheme="minorHAnsi"/>
                <w:sz w:val="18"/>
                <w:szCs w:val="18"/>
              </w:rPr>
            </w:pPr>
            <w:r w:rsidRPr="00D96D0B">
              <w:rPr>
                <w:rFonts w:cs="Calibri"/>
                <w:sz w:val="18"/>
                <w:szCs w:val="18"/>
                <w:lang w:val="en-US"/>
              </w:rPr>
              <w:t>(Roche et al, 2018)</w:t>
            </w:r>
          </w:p>
        </w:tc>
      </w:tr>
      <w:tr w:rsidR="0049224B" w:rsidRPr="00D96D0B" w14:paraId="25B39B9C" w14:textId="77777777" w:rsidTr="004C6F29">
        <w:trPr>
          <w:cantSplit/>
          <w:trHeight w:val="20"/>
        </w:trPr>
        <w:tc>
          <w:tcPr>
            <w:tcW w:w="1617" w:type="dxa"/>
            <w:vMerge w:val="restart"/>
            <w:vAlign w:val="center"/>
          </w:tcPr>
          <w:p w14:paraId="6B2C5414" w14:textId="13835B0F" w:rsidR="0049224B" w:rsidRPr="00D96D0B" w:rsidRDefault="00A760D5" w:rsidP="004C6F29">
            <w:pPr>
              <w:rPr>
                <w:rFonts w:cstheme="minorHAnsi"/>
                <w:sz w:val="18"/>
                <w:szCs w:val="18"/>
              </w:rPr>
            </w:pPr>
            <w:proofErr w:type="spellStart"/>
            <w:r w:rsidRPr="00D96D0B">
              <w:rPr>
                <w:rFonts w:cstheme="minorHAnsi"/>
                <w:sz w:val="18"/>
                <w:szCs w:val="18"/>
              </w:rPr>
              <w:t>Analyticals</w:t>
            </w:r>
            <w:proofErr w:type="spellEnd"/>
          </w:p>
        </w:tc>
        <w:tc>
          <w:tcPr>
            <w:tcW w:w="1621" w:type="dxa"/>
          </w:tcPr>
          <w:p w14:paraId="1EA2614E" w14:textId="7D6089C7" w:rsidR="0049224B" w:rsidRPr="00D96D0B" w:rsidRDefault="00A760D5" w:rsidP="004C6F29">
            <w:pPr>
              <w:jc w:val="center"/>
              <w:rPr>
                <w:rFonts w:cstheme="minorHAnsi"/>
                <w:sz w:val="18"/>
                <w:szCs w:val="18"/>
              </w:rPr>
            </w:pPr>
            <w:proofErr w:type="spellStart"/>
            <w:r w:rsidRPr="00D96D0B">
              <w:rPr>
                <w:rFonts w:cstheme="minorHAnsi"/>
                <w:sz w:val="18"/>
                <w:szCs w:val="18"/>
              </w:rPr>
              <w:t>Low</w:t>
            </w:r>
            <w:proofErr w:type="spellEnd"/>
            <w:r w:rsidRPr="00D96D0B">
              <w:rPr>
                <w:rFonts w:cstheme="minorHAnsi"/>
                <w:sz w:val="18"/>
                <w:szCs w:val="18"/>
              </w:rPr>
              <w:t xml:space="preserve"> </w:t>
            </w:r>
            <w:proofErr w:type="spellStart"/>
            <w:r w:rsidRPr="00D96D0B">
              <w:rPr>
                <w:rFonts w:cstheme="minorHAnsi"/>
                <w:sz w:val="18"/>
                <w:szCs w:val="18"/>
              </w:rPr>
              <w:t>Albumin</w:t>
            </w:r>
            <w:proofErr w:type="spellEnd"/>
            <w:r w:rsidRPr="00D96D0B">
              <w:rPr>
                <w:rFonts w:cstheme="minorHAnsi"/>
                <w:sz w:val="18"/>
                <w:szCs w:val="18"/>
              </w:rPr>
              <w:t xml:space="preserve"> </w:t>
            </w:r>
            <w:proofErr w:type="spellStart"/>
            <w:r w:rsidRPr="00D96D0B">
              <w:rPr>
                <w:rFonts w:cstheme="minorHAnsi"/>
                <w:sz w:val="18"/>
                <w:szCs w:val="18"/>
              </w:rPr>
              <w:t>Value</w:t>
            </w:r>
            <w:proofErr w:type="spellEnd"/>
          </w:p>
        </w:tc>
        <w:tc>
          <w:tcPr>
            <w:tcW w:w="1701" w:type="dxa"/>
            <w:shd w:val="clear" w:color="auto" w:fill="F2F2F2" w:themeFill="background1" w:themeFillShade="F2"/>
          </w:tcPr>
          <w:p w14:paraId="567B9F50" w14:textId="77777777" w:rsidR="0049224B" w:rsidRPr="00D96D0B" w:rsidRDefault="0049224B" w:rsidP="004C6F29">
            <w:pPr>
              <w:jc w:val="center"/>
              <w:rPr>
                <w:rFonts w:cstheme="minorHAnsi"/>
                <w:sz w:val="18"/>
                <w:szCs w:val="18"/>
              </w:rPr>
            </w:pPr>
          </w:p>
        </w:tc>
        <w:tc>
          <w:tcPr>
            <w:tcW w:w="1701" w:type="dxa"/>
            <w:shd w:val="clear" w:color="auto" w:fill="F2F2F2" w:themeFill="background1" w:themeFillShade="F2"/>
          </w:tcPr>
          <w:p w14:paraId="5F9B9FD2" w14:textId="77777777" w:rsidR="0049224B" w:rsidRPr="00D96D0B" w:rsidRDefault="0049224B" w:rsidP="004C6F29">
            <w:pPr>
              <w:jc w:val="center"/>
              <w:rPr>
                <w:rFonts w:cstheme="minorHAnsi"/>
                <w:sz w:val="18"/>
                <w:szCs w:val="18"/>
              </w:rPr>
            </w:pPr>
          </w:p>
        </w:tc>
        <w:tc>
          <w:tcPr>
            <w:tcW w:w="3425" w:type="dxa"/>
            <w:shd w:val="clear" w:color="auto" w:fill="F2F2F2" w:themeFill="background1" w:themeFillShade="F2"/>
            <w:vAlign w:val="center"/>
          </w:tcPr>
          <w:p w14:paraId="704F1A5F" w14:textId="5780339B" w:rsidR="0049224B" w:rsidRPr="00D96D0B" w:rsidRDefault="000D7B67" w:rsidP="004C6F29">
            <w:pPr>
              <w:jc w:val="center"/>
              <w:rPr>
                <w:rFonts w:cstheme="minorHAnsi"/>
                <w:sz w:val="18"/>
                <w:szCs w:val="18"/>
              </w:rPr>
            </w:pPr>
            <w:r w:rsidRPr="00D96D0B">
              <w:rPr>
                <w:rFonts w:cs="Calibri"/>
                <w:sz w:val="18"/>
                <w:szCs w:val="18"/>
                <w:lang w:val="en-US"/>
              </w:rPr>
              <w:t>(Roche et al, 2018)</w:t>
            </w:r>
          </w:p>
        </w:tc>
      </w:tr>
      <w:tr w:rsidR="0049224B" w:rsidRPr="00D96D0B" w14:paraId="5E540136" w14:textId="77777777" w:rsidTr="004C6F29">
        <w:trPr>
          <w:cantSplit/>
          <w:trHeight w:val="20"/>
        </w:trPr>
        <w:tc>
          <w:tcPr>
            <w:tcW w:w="1617" w:type="dxa"/>
            <w:vMerge/>
            <w:vAlign w:val="center"/>
          </w:tcPr>
          <w:p w14:paraId="76657521" w14:textId="77777777" w:rsidR="0049224B" w:rsidRPr="00D96D0B" w:rsidRDefault="0049224B" w:rsidP="004C6F29">
            <w:pPr>
              <w:rPr>
                <w:rFonts w:cstheme="minorHAnsi"/>
                <w:sz w:val="18"/>
                <w:szCs w:val="18"/>
              </w:rPr>
            </w:pPr>
          </w:p>
        </w:tc>
        <w:tc>
          <w:tcPr>
            <w:tcW w:w="1621" w:type="dxa"/>
          </w:tcPr>
          <w:p w14:paraId="2D4B5B71" w14:textId="0CE3AF36" w:rsidR="0049224B" w:rsidRPr="00D96D0B" w:rsidRDefault="00A760D5" w:rsidP="004C6F29">
            <w:pPr>
              <w:jc w:val="center"/>
              <w:rPr>
                <w:rFonts w:cstheme="minorHAnsi"/>
                <w:sz w:val="18"/>
                <w:szCs w:val="18"/>
                <w:lang w:val="en-US"/>
              </w:rPr>
            </w:pPr>
            <w:r w:rsidRPr="00D96D0B">
              <w:rPr>
                <w:rFonts w:cstheme="minorHAnsi"/>
                <w:sz w:val="18"/>
                <w:szCs w:val="18"/>
                <w:lang w:val="en-US"/>
              </w:rPr>
              <w:t>Low Mean Corpuscular Volume (MCV)</w:t>
            </w:r>
          </w:p>
        </w:tc>
        <w:tc>
          <w:tcPr>
            <w:tcW w:w="1701" w:type="dxa"/>
            <w:shd w:val="clear" w:color="auto" w:fill="F2F2F2" w:themeFill="background1" w:themeFillShade="F2"/>
          </w:tcPr>
          <w:p w14:paraId="3EFFB99F" w14:textId="77777777" w:rsidR="0049224B" w:rsidRPr="00D96D0B" w:rsidRDefault="0049224B" w:rsidP="004C6F29">
            <w:pPr>
              <w:jc w:val="center"/>
              <w:rPr>
                <w:rFonts w:cstheme="minorHAnsi"/>
                <w:sz w:val="18"/>
                <w:szCs w:val="18"/>
                <w:lang w:val="en-US"/>
              </w:rPr>
            </w:pPr>
          </w:p>
        </w:tc>
        <w:tc>
          <w:tcPr>
            <w:tcW w:w="1701" w:type="dxa"/>
            <w:shd w:val="clear" w:color="auto" w:fill="F2F2F2" w:themeFill="background1" w:themeFillShade="F2"/>
          </w:tcPr>
          <w:p w14:paraId="7380CBBF" w14:textId="77777777" w:rsidR="0049224B" w:rsidRPr="00D96D0B" w:rsidRDefault="0049224B" w:rsidP="004C6F29">
            <w:pPr>
              <w:jc w:val="center"/>
              <w:rPr>
                <w:rFonts w:cstheme="minorHAnsi"/>
                <w:sz w:val="18"/>
                <w:szCs w:val="18"/>
                <w:lang w:val="en-US"/>
              </w:rPr>
            </w:pPr>
          </w:p>
        </w:tc>
        <w:tc>
          <w:tcPr>
            <w:tcW w:w="3425" w:type="dxa"/>
            <w:shd w:val="clear" w:color="auto" w:fill="F2F2F2" w:themeFill="background1" w:themeFillShade="F2"/>
            <w:vAlign w:val="center"/>
          </w:tcPr>
          <w:p w14:paraId="2F154710" w14:textId="223A5D71" w:rsidR="0049224B" w:rsidRPr="00D96D0B" w:rsidRDefault="000D7B67" w:rsidP="004C6F29">
            <w:pPr>
              <w:jc w:val="center"/>
              <w:rPr>
                <w:rFonts w:cstheme="minorHAnsi"/>
                <w:sz w:val="18"/>
                <w:szCs w:val="18"/>
              </w:rPr>
            </w:pPr>
            <w:r w:rsidRPr="00D96D0B">
              <w:rPr>
                <w:rFonts w:cs="Calibri"/>
                <w:sz w:val="18"/>
                <w:szCs w:val="18"/>
                <w:lang w:val="en-US"/>
              </w:rPr>
              <w:t>(</w:t>
            </w:r>
            <w:proofErr w:type="spellStart"/>
            <w:r w:rsidRPr="00D96D0B">
              <w:rPr>
                <w:rFonts w:cs="Calibri"/>
                <w:sz w:val="18"/>
                <w:szCs w:val="18"/>
                <w:lang w:val="en-US"/>
              </w:rPr>
              <w:t>Almustafa</w:t>
            </w:r>
            <w:proofErr w:type="spellEnd"/>
            <w:r w:rsidRPr="00D96D0B">
              <w:rPr>
                <w:rFonts w:cs="Calibri"/>
                <w:sz w:val="18"/>
                <w:szCs w:val="18"/>
                <w:lang w:val="en-US"/>
              </w:rPr>
              <w:t xml:space="preserve"> et al, 2018)</w:t>
            </w:r>
          </w:p>
        </w:tc>
      </w:tr>
      <w:tr w:rsidR="0049224B" w:rsidRPr="00D96D0B" w14:paraId="333C2F18" w14:textId="77777777" w:rsidTr="004C6F29">
        <w:trPr>
          <w:cantSplit/>
          <w:trHeight w:val="20"/>
        </w:trPr>
        <w:tc>
          <w:tcPr>
            <w:tcW w:w="1617" w:type="dxa"/>
            <w:vMerge w:val="restart"/>
            <w:vAlign w:val="center"/>
          </w:tcPr>
          <w:p w14:paraId="57BF4AA2" w14:textId="4606F900" w:rsidR="0049224B" w:rsidRPr="00D96D0B" w:rsidRDefault="00A760D5" w:rsidP="004C6F29">
            <w:pPr>
              <w:rPr>
                <w:rFonts w:cstheme="minorHAnsi"/>
                <w:sz w:val="18"/>
                <w:szCs w:val="18"/>
              </w:rPr>
            </w:pPr>
            <w:proofErr w:type="spellStart"/>
            <w:r w:rsidRPr="00D96D0B">
              <w:rPr>
                <w:rFonts w:cstheme="minorHAnsi"/>
                <w:sz w:val="18"/>
                <w:szCs w:val="18"/>
              </w:rPr>
              <w:t>Bleeding</w:t>
            </w:r>
            <w:proofErr w:type="spellEnd"/>
          </w:p>
        </w:tc>
        <w:tc>
          <w:tcPr>
            <w:tcW w:w="1621" w:type="dxa"/>
            <w:shd w:val="clear" w:color="auto" w:fill="F2F2F2" w:themeFill="background1" w:themeFillShade="F2"/>
          </w:tcPr>
          <w:p w14:paraId="609F16C5" w14:textId="77777777" w:rsidR="0049224B" w:rsidRPr="00D96D0B" w:rsidRDefault="0049224B" w:rsidP="004C6F29">
            <w:pPr>
              <w:jc w:val="center"/>
              <w:rPr>
                <w:rFonts w:cstheme="minorHAnsi"/>
                <w:sz w:val="18"/>
                <w:szCs w:val="18"/>
              </w:rPr>
            </w:pPr>
          </w:p>
        </w:tc>
        <w:tc>
          <w:tcPr>
            <w:tcW w:w="1701" w:type="dxa"/>
            <w:shd w:val="clear" w:color="auto" w:fill="F2F2F2" w:themeFill="background1" w:themeFillShade="F2"/>
          </w:tcPr>
          <w:p w14:paraId="52396F50" w14:textId="77777777" w:rsidR="0049224B" w:rsidRPr="00D96D0B" w:rsidRDefault="0049224B" w:rsidP="004C6F29">
            <w:pPr>
              <w:jc w:val="center"/>
              <w:rPr>
                <w:rFonts w:cstheme="minorHAnsi"/>
                <w:sz w:val="18"/>
                <w:szCs w:val="18"/>
              </w:rPr>
            </w:pPr>
          </w:p>
        </w:tc>
        <w:tc>
          <w:tcPr>
            <w:tcW w:w="1701" w:type="dxa"/>
          </w:tcPr>
          <w:p w14:paraId="0070318C" w14:textId="299D524D" w:rsidR="0049224B" w:rsidRPr="00D96D0B" w:rsidRDefault="00A760D5" w:rsidP="004C6F29">
            <w:pPr>
              <w:jc w:val="center"/>
              <w:rPr>
                <w:rFonts w:cstheme="minorHAnsi"/>
                <w:sz w:val="18"/>
                <w:szCs w:val="18"/>
              </w:rPr>
            </w:pPr>
            <w:proofErr w:type="spellStart"/>
            <w:r w:rsidRPr="00D96D0B">
              <w:rPr>
                <w:rFonts w:cstheme="minorHAnsi"/>
                <w:sz w:val="18"/>
                <w:szCs w:val="18"/>
              </w:rPr>
              <w:t>Blood</w:t>
            </w:r>
            <w:proofErr w:type="spellEnd"/>
            <w:r w:rsidRPr="00D96D0B">
              <w:rPr>
                <w:rFonts w:cstheme="minorHAnsi"/>
                <w:sz w:val="18"/>
                <w:szCs w:val="18"/>
              </w:rPr>
              <w:t xml:space="preserve"> </w:t>
            </w:r>
            <w:proofErr w:type="spellStart"/>
            <w:r w:rsidRPr="00D96D0B">
              <w:rPr>
                <w:rFonts w:cstheme="minorHAnsi"/>
                <w:sz w:val="18"/>
                <w:szCs w:val="18"/>
              </w:rPr>
              <w:t>transfusion</w:t>
            </w:r>
            <w:proofErr w:type="spellEnd"/>
          </w:p>
        </w:tc>
        <w:tc>
          <w:tcPr>
            <w:tcW w:w="3425" w:type="dxa"/>
            <w:shd w:val="clear" w:color="auto" w:fill="F2F2F2" w:themeFill="background1" w:themeFillShade="F2"/>
            <w:vAlign w:val="center"/>
          </w:tcPr>
          <w:p w14:paraId="6B298765" w14:textId="2D4DC913" w:rsidR="0049224B" w:rsidRPr="00D96D0B" w:rsidRDefault="00713648" w:rsidP="004C6F29">
            <w:pPr>
              <w:jc w:val="center"/>
              <w:rPr>
                <w:rFonts w:cstheme="minorHAnsi"/>
                <w:sz w:val="18"/>
                <w:szCs w:val="18"/>
              </w:rPr>
            </w:pPr>
            <w:r w:rsidRPr="00D96D0B">
              <w:rPr>
                <w:rFonts w:cs="Calibri"/>
                <w:sz w:val="18"/>
                <w:szCs w:val="18"/>
                <w:lang w:val="en-US"/>
              </w:rPr>
              <w:t>(Rhee et al, 2018)</w:t>
            </w:r>
          </w:p>
        </w:tc>
      </w:tr>
      <w:tr w:rsidR="0049224B" w:rsidRPr="00D96D0B" w14:paraId="6D2D1893" w14:textId="77777777" w:rsidTr="004C6F29">
        <w:trPr>
          <w:cantSplit/>
          <w:trHeight w:val="20"/>
        </w:trPr>
        <w:tc>
          <w:tcPr>
            <w:tcW w:w="1617" w:type="dxa"/>
            <w:vMerge/>
            <w:vAlign w:val="center"/>
          </w:tcPr>
          <w:p w14:paraId="26E78569" w14:textId="77777777" w:rsidR="0049224B" w:rsidRPr="00D96D0B" w:rsidRDefault="0049224B" w:rsidP="004C6F29">
            <w:pPr>
              <w:rPr>
                <w:rFonts w:cstheme="minorHAnsi"/>
                <w:sz w:val="18"/>
                <w:szCs w:val="18"/>
              </w:rPr>
            </w:pPr>
          </w:p>
        </w:tc>
        <w:tc>
          <w:tcPr>
            <w:tcW w:w="1621" w:type="dxa"/>
            <w:shd w:val="clear" w:color="auto" w:fill="F2F2F2" w:themeFill="background1" w:themeFillShade="F2"/>
          </w:tcPr>
          <w:p w14:paraId="1AF5D0E2" w14:textId="77777777" w:rsidR="0049224B" w:rsidRPr="00D96D0B" w:rsidRDefault="0049224B" w:rsidP="004C6F29">
            <w:pPr>
              <w:jc w:val="center"/>
              <w:rPr>
                <w:rFonts w:cstheme="minorHAnsi"/>
                <w:sz w:val="18"/>
                <w:szCs w:val="18"/>
              </w:rPr>
            </w:pPr>
          </w:p>
        </w:tc>
        <w:tc>
          <w:tcPr>
            <w:tcW w:w="1701" w:type="dxa"/>
            <w:shd w:val="clear" w:color="auto" w:fill="F2F2F2" w:themeFill="background1" w:themeFillShade="F2"/>
          </w:tcPr>
          <w:p w14:paraId="635B295E" w14:textId="77777777" w:rsidR="0049224B" w:rsidRPr="00D96D0B" w:rsidRDefault="0049224B" w:rsidP="004C6F29">
            <w:pPr>
              <w:jc w:val="center"/>
              <w:rPr>
                <w:rFonts w:cstheme="minorHAnsi"/>
                <w:sz w:val="18"/>
                <w:szCs w:val="18"/>
              </w:rPr>
            </w:pPr>
          </w:p>
        </w:tc>
        <w:tc>
          <w:tcPr>
            <w:tcW w:w="1701" w:type="dxa"/>
            <w:vAlign w:val="center"/>
          </w:tcPr>
          <w:p w14:paraId="3B4EEEFD" w14:textId="1B267DDB" w:rsidR="0049224B" w:rsidRPr="00D96D0B" w:rsidRDefault="00A760D5" w:rsidP="004C6F29">
            <w:pPr>
              <w:jc w:val="center"/>
              <w:rPr>
                <w:rFonts w:cstheme="minorHAnsi"/>
                <w:sz w:val="18"/>
                <w:szCs w:val="18"/>
                <w:lang w:val="en-US"/>
              </w:rPr>
            </w:pPr>
            <w:r w:rsidRPr="00D96D0B">
              <w:rPr>
                <w:rFonts w:cstheme="minorHAnsi"/>
                <w:sz w:val="18"/>
                <w:szCs w:val="18"/>
                <w:lang w:val="en-US"/>
              </w:rPr>
              <w:t xml:space="preserve">Prolonged storage of blood prior to infusion </w:t>
            </w:r>
          </w:p>
        </w:tc>
        <w:tc>
          <w:tcPr>
            <w:tcW w:w="3425" w:type="dxa"/>
            <w:shd w:val="clear" w:color="auto" w:fill="F2F2F2" w:themeFill="background1" w:themeFillShade="F2"/>
            <w:vAlign w:val="center"/>
          </w:tcPr>
          <w:p w14:paraId="5E3332B4" w14:textId="3AB5E31E" w:rsidR="0049224B" w:rsidRPr="00D96D0B" w:rsidRDefault="000D7B67" w:rsidP="004C6F29">
            <w:pPr>
              <w:jc w:val="center"/>
              <w:rPr>
                <w:rFonts w:cstheme="minorHAnsi"/>
                <w:sz w:val="18"/>
                <w:szCs w:val="18"/>
              </w:rPr>
            </w:pPr>
            <w:r w:rsidRPr="00D96D0B">
              <w:rPr>
                <w:rFonts w:cs="Calibri"/>
                <w:sz w:val="18"/>
                <w:szCs w:val="18"/>
                <w:lang w:val="en-US"/>
              </w:rPr>
              <w:t>(</w:t>
            </w:r>
            <w:proofErr w:type="spellStart"/>
            <w:r w:rsidRPr="00D96D0B">
              <w:rPr>
                <w:rFonts w:cs="Calibri"/>
                <w:sz w:val="18"/>
                <w:szCs w:val="18"/>
                <w:lang w:val="en-US"/>
              </w:rPr>
              <w:t>Almustafa</w:t>
            </w:r>
            <w:proofErr w:type="spellEnd"/>
            <w:r w:rsidRPr="00D96D0B">
              <w:rPr>
                <w:rFonts w:cs="Calibri"/>
                <w:sz w:val="18"/>
                <w:szCs w:val="18"/>
                <w:lang w:val="en-US"/>
              </w:rPr>
              <w:t xml:space="preserve"> et al, 2018)</w:t>
            </w:r>
          </w:p>
        </w:tc>
      </w:tr>
      <w:tr w:rsidR="0049224B" w:rsidRPr="00D96D0B" w14:paraId="0A6E2450" w14:textId="77777777" w:rsidTr="004C6F29">
        <w:trPr>
          <w:cantSplit/>
          <w:trHeight w:val="244"/>
        </w:trPr>
        <w:tc>
          <w:tcPr>
            <w:tcW w:w="1617" w:type="dxa"/>
            <w:vAlign w:val="center"/>
          </w:tcPr>
          <w:p w14:paraId="7614C2E6" w14:textId="2512395A" w:rsidR="0049224B" w:rsidRPr="00D96D0B" w:rsidRDefault="00A760D5" w:rsidP="004C6F29">
            <w:pPr>
              <w:rPr>
                <w:rFonts w:cstheme="minorHAnsi"/>
                <w:sz w:val="18"/>
                <w:szCs w:val="18"/>
              </w:rPr>
            </w:pPr>
            <w:proofErr w:type="spellStart"/>
            <w:r w:rsidRPr="00D96D0B">
              <w:rPr>
                <w:rFonts w:cstheme="minorHAnsi"/>
                <w:sz w:val="18"/>
                <w:szCs w:val="18"/>
              </w:rPr>
              <w:t>Environmental</w:t>
            </w:r>
            <w:proofErr w:type="spellEnd"/>
          </w:p>
        </w:tc>
        <w:tc>
          <w:tcPr>
            <w:tcW w:w="5023" w:type="dxa"/>
            <w:gridSpan w:val="3"/>
            <w:vAlign w:val="center"/>
          </w:tcPr>
          <w:p w14:paraId="1585E95E" w14:textId="600BB4B6" w:rsidR="0049224B" w:rsidRPr="00D96D0B" w:rsidRDefault="00A760D5" w:rsidP="004C6F29">
            <w:pPr>
              <w:jc w:val="center"/>
              <w:rPr>
                <w:rFonts w:cstheme="minorHAnsi"/>
                <w:sz w:val="18"/>
                <w:szCs w:val="18"/>
              </w:rPr>
            </w:pPr>
            <w:proofErr w:type="spellStart"/>
            <w:r w:rsidRPr="00D96D0B">
              <w:rPr>
                <w:rFonts w:cstheme="minorHAnsi"/>
                <w:sz w:val="18"/>
                <w:szCs w:val="18"/>
              </w:rPr>
              <w:t>Low</w:t>
            </w:r>
            <w:proofErr w:type="spellEnd"/>
            <w:r w:rsidRPr="00D96D0B">
              <w:rPr>
                <w:rFonts w:cstheme="minorHAnsi"/>
                <w:sz w:val="18"/>
                <w:szCs w:val="18"/>
              </w:rPr>
              <w:t xml:space="preserve"> </w:t>
            </w:r>
            <w:proofErr w:type="spellStart"/>
            <w:r w:rsidRPr="00D96D0B">
              <w:rPr>
                <w:rFonts w:cstheme="minorHAnsi"/>
                <w:sz w:val="18"/>
                <w:szCs w:val="18"/>
              </w:rPr>
              <w:t>ventilation</w:t>
            </w:r>
            <w:proofErr w:type="spellEnd"/>
            <w:r w:rsidRPr="00D96D0B">
              <w:rPr>
                <w:rFonts w:cstheme="minorHAnsi"/>
                <w:sz w:val="18"/>
                <w:szCs w:val="18"/>
              </w:rPr>
              <w:t xml:space="preserve"> </w:t>
            </w:r>
            <w:proofErr w:type="spellStart"/>
            <w:r w:rsidRPr="00D96D0B">
              <w:rPr>
                <w:rFonts w:cstheme="minorHAnsi"/>
                <w:sz w:val="18"/>
                <w:szCs w:val="18"/>
              </w:rPr>
              <w:t>quality</w:t>
            </w:r>
            <w:proofErr w:type="spellEnd"/>
          </w:p>
        </w:tc>
        <w:tc>
          <w:tcPr>
            <w:tcW w:w="3425" w:type="dxa"/>
            <w:shd w:val="clear" w:color="auto" w:fill="F2F2F2" w:themeFill="background1" w:themeFillShade="F2"/>
            <w:vAlign w:val="center"/>
          </w:tcPr>
          <w:p w14:paraId="4D567FB5" w14:textId="5935EDBB" w:rsidR="0049224B" w:rsidRPr="00D96D0B" w:rsidRDefault="000D7B67" w:rsidP="004C6F29">
            <w:pPr>
              <w:jc w:val="center"/>
              <w:rPr>
                <w:rFonts w:cstheme="minorHAnsi"/>
                <w:sz w:val="18"/>
                <w:szCs w:val="18"/>
              </w:rPr>
            </w:pPr>
            <w:r w:rsidRPr="00D96D0B">
              <w:rPr>
                <w:rFonts w:cs="Calibri"/>
                <w:sz w:val="18"/>
                <w:szCs w:val="18"/>
                <w:lang w:val="en-US"/>
              </w:rPr>
              <w:t>(</w:t>
            </w:r>
            <w:proofErr w:type="spellStart"/>
            <w:r w:rsidRPr="00D96D0B">
              <w:rPr>
                <w:rFonts w:cs="Calibri"/>
                <w:sz w:val="18"/>
                <w:szCs w:val="18"/>
                <w:lang w:val="en-US"/>
              </w:rPr>
              <w:t>Surial</w:t>
            </w:r>
            <w:proofErr w:type="spellEnd"/>
            <w:r w:rsidRPr="00D96D0B">
              <w:rPr>
                <w:rFonts w:cs="Calibri"/>
                <w:sz w:val="18"/>
                <w:szCs w:val="18"/>
                <w:lang w:val="en-US"/>
              </w:rPr>
              <w:t xml:space="preserve"> et al, 2022)</w:t>
            </w:r>
          </w:p>
        </w:tc>
      </w:tr>
      <w:tr w:rsidR="0049224B" w:rsidRPr="002E3994" w14:paraId="16670CE4" w14:textId="77777777" w:rsidTr="004C6F29">
        <w:trPr>
          <w:cantSplit/>
          <w:trHeight w:val="252"/>
        </w:trPr>
        <w:tc>
          <w:tcPr>
            <w:tcW w:w="1617" w:type="dxa"/>
            <w:vMerge w:val="restart"/>
            <w:vAlign w:val="center"/>
          </w:tcPr>
          <w:p w14:paraId="3E73D792" w14:textId="1DC271CC" w:rsidR="0049224B" w:rsidRPr="00D96D0B" w:rsidRDefault="00A760D5" w:rsidP="004C6F29">
            <w:pPr>
              <w:rPr>
                <w:rFonts w:cstheme="minorHAnsi"/>
                <w:sz w:val="18"/>
                <w:szCs w:val="18"/>
              </w:rPr>
            </w:pPr>
            <w:proofErr w:type="spellStart"/>
            <w:r w:rsidRPr="00D96D0B">
              <w:rPr>
                <w:rFonts w:cstheme="minorHAnsi"/>
                <w:sz w:val="18"/>
                <w:szCs w:val="18"/>
              </w:rPr>
              <w:t>Healing</w:t>
            </w:r>
            <w:proofErr w:type="spellEnd"/>
          </w:p>
        </w:tc>
        <w:tc>
          <w:tcPr>
            <w:tcW w:w="1621" w:type="dxa"/>
          </w:tcPr>
          <w:p w14:paraId="7D21D2F4" w14:textId="2AE1BC04" w:rsidR="0049224B" w:rsidRPr="00D96D0B" w:rsidRDefault="00A760D5" w:rsidP="004C6F29">
            <w:pPr>
              <w:jc w:val="center"/>
              <w:rPr>
                <w:rFonts w:cstheme="minorHAnsi"/>
                <w:sz w:val="18"/>
                <w:szCs w:val="18"/>
              </w:rPr>
            </w:pPr>
            <w:proofErr w:type="spellStart"/>
            <w:r w:rsidRPr="00D96D0B">
              <w:rPr>
                <w:rFonts w:cstheme="minorHAnsi"/>
                <w:sz w:val="18"/>
                <w:szCs w:val="18"/>
              </w:rPr>
              <w:t>Diabetic</w:t>
            </w:r>
            <w:proofErr w:type="spellEnd"/>
            <w:r w:rsidRPr="00D96D0B">
              <w:rPr>
                <w:rFonts w:cstheme="minorHAnsi"/>
                <w:sz w:val="18"/>
                <w:szCs w:val="18"/>
              </w:rPr>
              <w:t xml:space="preserve"> </w:t>
            </w:r>
            <w:proofErr w:type="spellStart"/>
            <w:r w:rsidRPr="00D96D0B">
              <w:rPr>
                <w:rFonts w:cstheme="minorHAnsi"/>
                <w:sz w:val="18"/>
                <w:szCs w:val="18"/>
              </w:rPr>
              <w:t>Foot</w:t>
            </w:r>
            <w:proofErr w:type="spellEnd"/>
            <w:r w:rsidRPr="00D96D0B">
              <w:rPr>
                <w:rFonts w:cstheme="minorHAnsi"/>
                <w:sz w:val="18"/>
                <w:szCs w:val="18"/>
              </w:rPr>
              <w:t xml:space="preserve"> </w:t>
            </w:r>
            <w:proofErr w:type="spellStart"/>
            <w:r w:rsidRPr="00D96D0B">
              <w:rPr>
                <w:rFonts w:cstheme="minorHAnsi"/>
                <w:sz w:val="18"/>
                <w:szCs w:val="18"/>
              </w:rPr>
              <w:t>Ulcer</w:t>
            </w:r>
            <w:proofErr w:type="spellEnd"/>
          </w:p>
        </w:tc>
        <w:tc>
          <w:tcPr>
            <w:tcW w:w="1701" w:type="dxa"/>
            <w:shd w:val="clear" w:color="auto" w:fill="F2F2F2" w:themeFill="background1" w:themeFillShade="F2"/>
          </w:tcPr>
          <w:p w14:paraId="15A6CF75" w14:textId="77777777" w:rsidR="0049224B" w:rsidRPr="00D96D0B" w:rsidRDefault="0049224B" w:rsidP="004C6F29">
            <w:pPr>
              <w:jc w:val="center"/>
              <w:rPr>
                <w:rFonts w:cstheme="minorHAnsi"/>
                <w:sz w:val="18"/>
                <w:szCs w:val="18"/>
              </w:rPr>
            </w:pPr>
          </w:p>
        </w:tc>
        <w:tc>
          <w:tcPr>
            <w:tcW w:w="1701" w:type="dxa"/>
          </w:tcPr>
          <w:p w14:paraId="3B7175E0" w14:textId="3BE0902E" w:rsidR="0049224B" w:rsidRPr="00D96D0B" w:rsidRDefault="00A760D5" w:rsidP="004C6F29">
            <w:pPr>
              <w:jc w:val="center"/>
              <w:rPr>
                <w:rFonts w:cstheme="minorHAnsi"/>
                <w:sz w:val="18"/>
                <w:szCs w:val="18"/>
              </w:rPr>
            </w:pPr>
            <w:proofErr w:type="spellStart"/>
            <w:r w:rsidRPr="00D96D0B">
              <w:rPr>
                <w:rFonts w:cstheme="minorHAnsi"/>
                <w:sz w:val="18"/>
                <w:szCs w:val="18"/>
              </w:rPr>
              <w:t>Healing</w:t>
            </w:r>
            <w:proofErr w:type="spellEnd"/>
            <w:r w:rsidRPr="00D96D0B">
              <w:rPr>
                <w:rFonts w:cstheme="minorHAnsi"/>
                <w:sz w:val="18"/>
                <w:szCs w:val="18"/>
              </w:rPr>
              <w:t xml:space="preserve"> </w:t>
            </w:r>
            <w:proofErr w:type="spellStart"/>
            <w:r w:rsidRPr="00D96D0B">
              <w:rPr>
                <w:rFonts w:cstheme="minorHAnsi"/>
                <w:sz w:val="18"/>
                <w:szCs w:val="18"/>
              </w:rPr>
              <w:t>Disorders</w:t>
            </w:r>
            <w:proofErr w:type="spellEnd"/>
          </w:p>
        </w:tc>
        <w:tc>
          <w:tcPr>
            <w:tcW w:w="3425" w:type="dxa"/>
            <w:shd w:val="clear" w:color="auto" w:fill="F2F2F2" w:themeFill="background1" w:themeFillShade="F2"/>
            <w:vAlign w:val="center"/>
          </w:tcPr>
          <w:p w14:paraId="0AC3D8F6" w14:textId="555D7F0D" w:rsidR="0049224B" w:rsidRPr="00D96D0B" w:rsidRDefault="000D7B67" w:rsidP="004C6F29">
            <w:pPr>
              <w:jc w:val="center"/>
              <w:rPr>
                <w:rFonts w:cstheme="minorHAnsi"/>
                <w:sz w:val="18"/>
                <w:szCs w:val="18"/>
                <w:lang w:val="en-US"/>
              </w:rPr>
            </w:pPr>
            <w:r w:rsidRPr="00D96D0B">
              <w:rPr>
                <w:rFonts w:cs="Calibri"/>
                <w:sz w:val="18"/>
                <w:szCs w:val="18"/>
                <w:lang w:val="en-US"/>
              </w:rPr>
              <w:t>(Magruder et al, 2024</w:t>
            </w:r>
            <w:r w:rsidR="0049224B" w:rsidRPr="00D96D0B">
              <w:rPr>
                <w:rFonts w:cstheme="minorHAnsi"/>
                <w:sz w:val="18"/>
                <w:szCs w:val="18"/>
                <w:lang w:val="en-US"/>
              </w:rPr>
              <w:t>;</w:t>
            </w:r>
            <w:r w:rsidR="00713648" w:rsidRPr="00D96D0B">
              <w:rPr>
                <w:rFonts w:cs="Calibri"/>
                <w:sz w:val="18"/>
                <w:szCs w:val="18"/>
                <w:lang w:val="en-US"/>
              </w:rPr>
              <w:t xml:space="preserve"> Baier et al, 2019)</w:t>
            </w:r>
          </w:p>
        </w:tc>
      </w:tr>
      <w:tr w:rsidR="0049224B" w:rsidRPr="00D96D0B" w14:paraId="0BEEDCF9" w14:textId="77777777" w:rsidTr="004C6F29">
        <w:trPr>
          <w:cantSplit/>
          <w:trHeight w:val="252"/>
        </w:trPr>
        <w:tc>
          <w:tcPr>
            <w:tcW w:w="1617" w:type="dxa"/>
            <w:vMerge/>
            <w:vAlign w:val="center"/>
          </w:tcPr>
          <w:p w14:paraId="0A665129" w14:textId="77777777" w:rsidR="0049224B" w:rsidRPr="00D96D0B" w:rsidRDefault="0049224B" w:rsidP="004C6F29">
            <w:pPr>
              <w:rPr>
                <w:rFonts w:cstheme="minorHAnsi"/>
                <w:sz w:val="18"/>
                <w:szCs w:val="18"/>
                <w:lang w:val="en-US"/>
              </w:rPr>
            </w:pPr>
          </w:p>
        </w:tc>
        <w:tc>
          <w:tcPr>
            <w:tcW w:w="5023" w:type="dxa"/>
            <w:gridSpan w:val="3"/>
            <w:vAlign w:val="center"/>
          </w:tcPr>
          <w:p w14:paraId="12444C91" w14:textId="515E3D2B" w:rsidR="0049224B" w:rsidRPr="00D96D0B" w:rsidRDefault="00A760D5" w:rsidP="004C6F29">
            <w:pPr>
              <w:jc w:val="center"/>
              <w:rPr>
                <w:rFonts w:cstheme="minorHAnsi"/>
                <w:sz w:val="18"/>
                <w:szCs w:val="18"/>
              </w:rPr>
            </w:pPr>
            <w:proofErr w:type="spellStart"/>
            <w:r w:rsidRPr="00D96D0B">
              <w:rPr>
                <w:rFonts w:cstheme="minorHAnsi"/>
                <w:sz w:val="18"/>
                <w:szCs w:val="18"/>
              </w:rPr>
              <w:t>Peripheral</w:t>
            </w:r>
            <w:proofErr w:type="spellEnd"/>
            <w:r w:rsidRPr="00D96D0B">
              <w:rPr>
                <w:rFonts w:cstheme="minorHAnsi"/>
                <w:sz w:val="18"/>
                <w:szCs w:val="18"/>
              </w:rPr>
              <w:t xml:space="preserve"> </w:t>
            </w:r>
            <w:proofErr w:type="spellStart"/>
            <w:r w:rsidRPr="00D96D0B">
              <w:rPr>
                <w:rFonts w:cstheme="minorHAnsi"/>
                <w:sz w:val="18"/>
                <w:szCs w:val="18"/>
              </w:rPr>
              <w:t>Venous</w:t>
            </w:r>
            <w:proofErr w:type="spellEnd"/>
            <w:r w:rsidRPr="00D96D0B">
              <w:rPr>
                <w:rFonts w:cstheme="minorHAnsi"/>
                <w:sz w:val="18"/>
                <w:szCs w:val="18"/>
              </w:rPr>
              <w:t xml:space="preserve"> </w:t>
            </w:r>
            <w:proofErr w:type="spellStart"/>
            <w:r w:rsidRPr="00D96D0B">
              <w:rPr>
                <w:rFonts w:cstheme="minorHAnsi"/>
                <w:sz w:val="18"/>
                <w:szCs w:val="18"/>
              </w:rPr>
              <w:t>Disease</w:t>
            </w:r>
            <w:proofErr w:type="spellEnd"/>
          </w:p>
        </w:tc>
        <w:tc>
          <w:tcPr>
            <w:tcW w:w="3425" w:type="dxa"/>
            <w:shd w:val="clear" w:color="auto" w:fill="F2F2F2" w:themeFill="background1" w:themeFillShade="F2"/>
            <w:vAlign w:val="center"/>
          </w:tcPr>
          <w:p w14:paraId="613A12C4" w14:textId="45BA023C" w:rsidR="0049224B" w:rsidRPr="00D96D0B" w:rsidRDefault="000D7B67" w:rsidP="004C6F29">
            <w:pPr>
              <w:jc w:val="center"/>
              <w:rPr>
                <w:rFonts w:cstheme="minorHAnsi"/>
                <w:sz w:val="18"/>
                <w:szCs w:val="18"/>
              </w:rPr>
            </w:pPr>
            <w:r w:rsidRPr="00D96D0B">
              <w:rPr>
                <w:rFonts w:cs="Calibri"/>
                <w:sz w:val="18"/>
                <w:szCs w:val="18"/>
                <w:lang w:val="en-US"/>
              </w:rPr>
              <w:t>(Marusic et al, 2021)</w:t>
            </w:r>
          </w:p>
        </w:tc>
      </w:tr>
      <w:tr w:rsidR="0049224B" w:rsidRPr="00D96D0B" w14:paraId="475FB9C3" w14:textId="77777777" w:rsidTr="004C6F29">
        <w:trPr>
          <w:cantSplit/>
          <w:trHeight w:val="20"/>
        </w:trPr>
        <w:tc>
          <w:tcPr>
            <w:tcW w:w="1617" w:type="dxa"/>
            <w:vAlign w:val="center"/>
          </w:tcPr>
          <w:p w14:paraId="659FE1EB" w14:textId="5ABF729C" w:rsidR="0049224B" w:rsidRPr="00D96D0B" w:rsidRDefault="00A760D5" w:rsidP="004C6F29">
            <w:pPr>
              <w:rPr>
                <w:rFonts w:cstheme="minorHAnsi"/>
                <w:sz w:val="18"/>
                <w:szCs w:val="18"/>
              </w:rPr>
            </w:pPr>
            <w:proofErr w:type="spellStart"/>
            <w:r w:rsidRPr="00D96D0B">
              <w:rPr>
                <w:rFonts w:cstheme="minorHAnsi"/>
                <w:sz w:val="18"/>
                <w:szCs w:val="18"/>
              </w:rPr>
              <w:t>Infections</w:t>
            </w:r>
            <w:proofErr w:type="spellEnd"/>
          </w:p>
        </w:tc>
        <w:tc>
          <w:tcPr>
            <w:tcW w:w="1621" w:type="dxa"/>
            <w:shd w:val="clear" w:color="auto" w:fill="F2F2F2" w:themeFill="background1" w:themeFillShade="F2"/>
          </w:tcPr>
          <w:p w14:paraId="41AAEDAE" w14:textId="77777777" w:rsidR="0049224B" w:rsidRPr="00D96D0B" w:rsidRDefault="0049224B" w:rsidP="004C6F29">
            <w:pPr>
              <w:jc w:val="center"/>
              <w:rPr>
                <w:rFonts w:cstheme="minorHAnsi"/>
                <w:sz w:val="18"/>
                <w:szCs w:val="18"/>
              </w:rPr>
            </w:pPr>
          </w:p>
        </w:tc>
        <w:tc>
          <w:tcPr>
            <w:tcW w:w="1701" w:type="dxa"/>
            <w:shd w:val="clear" w:color="auto" w:fill="F2F2F2" w:themeFill="background1" w:themeFillShade="F2"/>
          </w:tcPr>
          <w:p w14:paraId="556D08F9" w14:textId="77777777" w:rsidR="0049224B" w:rsidRPr="00D96D0B" w:rsidRDefault="0049224B" w:rsidP="004C6F29">
            <w:pPr>
              <w:jc w:val="center"/>
              <w:rPr>
                <w:rFonts w:cstheme="minorHAnsi"/>
                <w:sz w:val="18"/>
                <w:szCs w:val="18"/>
              </w:rPr>
            </w:pPr>
          </w:p>
        </w:tc>
        <w:tc>
          <w:tcPr>
            <w:tcW w:w="1701" w:type="dxa"/>
          </w:tcPr>
          <w:p w14:paraId="52FE0D5A" w14:textId="22BFDDBF" w:rsidR="0049224B" w:rsidRPr="00D96D0B" w:rsidRDefault="00A760D5" w:rsidP="004C6F29">
            <w:pPr>
              <w:jc w:val="center"/>
              <w:rPr>
                <w:rFonts w:cstheme="minorHAnsi"/>
                <w:sz w:val="18"/>
                <w:szCs w:val="18"/>
              </w:rPr>
            </w:pPr>
            <w:proofErr w:type="spellStart"/>
            <w:r w:rsidRPr="00D96D0B">
              <w:rPr>
                <w:rFonts w:cstheme="minorHAnsi"/>
                <w:sz w:val="18"/>
                <w:szCs w:val="18"/>
              </w:rPr>
              <w:t>Urinary</w:t>
            </w:r>
            <w:proofErr w:type="spellEnd"/>
            <w:r w:rsidRPr="00D96D0B">
              <w:rPr>
                <w:rFonts w:cstheme="minorHAnsi"/>
                <w:sz w:val="18"/>
                <w:szCs w:val="18"/>
              </w:rPr>
              <w:t xml:space="preserve"> </w:t>
            </w:r>
            <w:proofErr w:type="spellStart"/>
            <w:r w:rsidRPr="00D96D0B">
              <w:rPr>
                <w:rFonts w:cstheme="minorHAnsi"/>
                <w:sz w:val="18"/>
                <w:szCs w:val="18"/>
              </w:rPr>
              <w:t>Tract</w:t>
            </w:r>
            <w:proofErr w:type="spellEnd"/>
            <w:r w:rsidRPr="00D96D0B">
              <w:rPr>
                <w:rFonts w:cstheme="minorHAnsi"/>
                <w:sz w:val="18"/>
                <w:szCs w:val="18"/>
              </w:rPr>
              <w:t xml:space="preserve"> </w:t>
            </w:r>
            <w:proofErr w:type="spellStart"/>
            <w:r w:rsidRPr="00D96D0B">
              <w:rPr>
                <w:rFonts w:cstheme="minorHAnsi"/>
                <w:sz w:val="18"/>
                <w:szCs w:val="18"/>
              </w:rPr>
              <w:t>Infection</w:t>
            </w:r>
            <w:proofErr w:type="spellEnd"/>
          </w:p>
        </w:tc>
        <w:tc>
          <w:tcPr>
            <w:tcW w:w="3425" w:type="dxa"/>
            <w:shd w:val="clear" w:color="auto" w:fill="F2F2F2" w:themeFill="background1" w:themeFillShade="F2"/>
            <w:vAlign w:val="center"/>
          </w:tcPr>
          <w:p w14:paraId="775307D0" w14:textId="36577C57" w:rsidR="0049224B" w:rsidRPr="00D96D0B" w:rsidRDefault="000D7B67" w:rsidP="004C6F29">
            <w:pPr>
              <w:jc w:val="center"/>
              <w:rPr>
                <w:rFonts w:cstheme="minorHAnsi"/>
                <w:sz w:val="18"/>
                <w:szCs w:val="18"/>
              </w:rPr>
            </w:pPr>
            <w:r w:rsidRPr="00D96D0B">
              <w:rPr>
                <w:rFonts w:cs="Calibri"/>
                <w:sz w:val="18"/>
                <w:szCs w:val="18"/>
                <w:lang w:val="en-US"/>
              </w:rPr>
              <w:t>(Schmitt et al, 2020)</w:t>
            </w:r>
          </w:p>
        </w:tc>
      </w:tr>
      <w:tr w:rsidR="0049224B" w:rsidRPr="002E3994" w14:paraId="0F0643F5" w14:textId="77777777" w:rsidTr="004C6F29">
        <w:trPr>
          <w:cantSplit/>
          <w:trHeight w:val="20"/>
        </w:trPr>
        <w:tc>
          <w:tcPr>
            <w:tcW w:w="1617" w:type="dxa"/>
            <w:vMerge w:val="restart"/>
            <w:vAlign w:val="center"/>
          </w:tcPr>
          <w:p w14:paraId="3E6649C7" w14:textId="77777777" w:rsidR="0049224B" w:rsidRPr="00D96D0B" w:rsidRDefault="0049224B" w:rsidP="004C6F29">
            <w:pPr>
              <w:rPr>
                <w:rFonts w:cstheme="minorHAnsi"/>
                <w:i/>
                <w:iCs/>
                <w:sz w:val="18"/>
                <w:szCs w:val="18"/>
              </w:rPr>
            </w:pPr>
            <w:proofErr w:type="spellStart"/>
            <w:r w:rsidRPr="00D96D0B">
              <w:rPr>
                <w:rFonts w:cstheme="minorHAnsi"/>
                <w:i/>
                <w:iCs/>
                <w:sz w:val="18"/>
                <w:szCs w:val="18"/>
              </w:rPr>
              <w:t>Guidelines</w:t>
            </w:r>
            <w:proofErr w:type="spellEnd"/>
          </w:p>
        </w:tc>
        <w:tc>
          <w:tcPr>
            <w:tcW w:w="1621" w:type="dxa"/>
            <w:vAlign w:val="center"/>
          </w:tcPr>
          <w:p w14:paraId="75292C42" w14:textId="4FAE4E0A" w:rsidR="0049224B" w:rsidRPr="00D96D0B" w:rsidRDefault="00A760D5" w:rsidP="004C6F29">
            <w:pPr>
              <w:jc w:val="center"/>
              <w:rPr>
                <w:rFonts w:cstheme="minorHAnsi"/>
                <w:sz w:val="18"/>
                <w:szCs w:val="18"/>
                <w:lang w:val="en-US"/>
              </w:rPr>
            </w:pPr>
            <w:r w:rsidRPr="00D96D0B">
              <w:rPr>
                <w:rFonts w:cstheme="minorHAnsi"/>
                <w:sz w:val="18"/>
                <w:szCs w:val="18"/>
                <w:lang w:val="en-US"/>
              </w:rPr>
              <w:t>Non-compliance (Antibiotic Therapy and Venous Thromboembolism Prophylaxis)</w:t>
            </w:r>
          </w:p>
        </w:tc>
        <w:tc>
          <w:tcPr>
            <w:tcW w:w="3402" w:type="dxa"/>
            <w:gridSpan w:val="2"/>
            <w:vAlign w:val="center"/>
          </w:tcPr>
          <w:p w14:paraId="4793DF6E" w14:textId="4118B2BD" w:rsidR="0049224B" w:rsidRPr="00D96D0B" w:rsidRDefault="00A760D5" w:rsidP="004C6F29">
            <w:pPr>
              <w:jc w:val="center"/>
              <w:rPr>
                <w:rFonts w:cstheme="minorHAnsi"/>
                <w:sz w:val="18"/>
                <w:szCs w:val="18"/>
              </w:rPr>
            </w:pPr>
            <w:r w:rsidRPr="00D96D0B">
              <w:rPr>
                <w:rFonts w:cstheme="minorHAnsi"/>
                <w:sz w:val="18"/>
                <w:szCs w:val="18"/>
              </w:rPr>
              <w:t>Non-</w:t>
            </w:r>
            <w:proofErr w:type="spellStart"/>
            <w:r w:rsidRPr="00D96D0B">
              <w:rPr>
                <w:rFonts w:cstheme="minorHAnsi"/>
                <w:sz w:val="18"/>
                <w:szCs w:val="18"/>
              </w:rPr>
              <w:t>compliance</w:t>
            </w:r>
            <w:proofErr w:type="spellEnd"/>
            <w:r w:rsidRPr="00D96D0B">
              <w:rPr>
                <w:rFonts w:cstheme="minorHAnsi"/>
                <w:sz w:val="18"/>
                <w:szCs w:val="18"/>
              </w:rPr>
              <w:t xml:space="preserve"> (</w:t>
            </w:r>
            <w:proofErr w:type="spellStart"/>
            <w:r w:rsidRPr="00D96D0B">
              <w:rPr>
                <w:rFonts w:cstheme="minorHAnsi"/>
                <w:sz w:val="18"/>
                <w:szCs w:val="18"/>
              </w:rPr>
              <w:t>Antibiotic</w:t>
            </w:r>
            <w:proofErr w:type="spellEnd"/>
            <w:r w:rsidRPr="00D96D0B">
              <w:rPr>
                <w:rFonts w:cstheme="minorHAnsi"/>
                <w:sz w:val="18"/>
                <w:szCs w:val="18"/>
              </w:rPr>
              <w:t xml:space="preserve"> </w:t>
            </w:r>
            <w:proofErr w:type="spellStart"/>
            <w:r w:rsidRPr="00D96D0B">
              <w:rPr>
                <w:rFonts w:cstheme="minorHAnsi"/>
                <w:sz w:val="18"/>
                <w:szCs w:val="18"/>
              </w:rPr>
              <w:t>therapy</w:t>
            </w:r>
            <w:proofErr w:type="spellEnd"/>
            <w:r w:rsidRPr="00D96D0B">
              <w:rPr>
                <w:rFonts w:cstheme="minorHAnsi"/>
                <w:sz w:val="18"/>
                <w:szCs w:val="18"/>
              </w:rPr>
              <w:t>)</w:t>
            </w:r>
          </w:p>
        </w:tc>
        <w:tc>
          <w:tcPr>
            <w:tcW w:w="3425" w:type="dxa"/>
            <w:shd w:val="clear" w:color="auto" w:fill="F2F2F2" w:themeFill="background1" w:themeFillShade="F2"/>
            <w:vAlign w:val="center"/>
          </w:tcPr>
          <w:p w14:paraId="0EEF57C1" w14:textId="118C9DB3" w:rsidR="0049224B" w:rsidRPr="00D96D0B" w:rsidRDefault="000D7B67" w:rsidP="004C6F29">
            <w:pPr>
              <w:jc w:val="center"/>
              <w:rPr>
                <w:rFonts w:cstheme="minorHAnsi"/>
                <w:sz w:val="18"/>
                <w:szCs w:val="18"/>
                <w:lang w:val="en-US"/>
              </w:rPr>
            </w:pPr>
            <w:r w:rsidRPr="00D96D0B">
              <w:rPr>
                <w:rFonts w:cs="Calibri"/>
                <w:sz w:val="18"/>
                <w:szCs w:val="18"/>
                <w:lang w:val="en-US"/>
              </w:rPr>
              <w:t>(Badge et al, 2021</w:t>
            </w:r>
            <w:r w:rsidR="0049224B" w:rsidRPr="00D96D0B">
              <w:rPr>
                <w:rFonts w:cstheme="minorHAnsi"/>
                <w:sz w:val="18"/>
                <w:szCs w:val="18"/>
                <w:lang w:val="en-US"/>
              </w:rPr>
              <w:t>;</w:t>
            </w:r>
            <w:r w:rsidRPr="00D96D0B">
              <w:rPr>
                <w:rFonts w:cs="Calibri"/>
                <w:sz w:val="18"/>
                <w:szCs w:val="18"/>
                <w:lang w:val="en-US"/>
              </w:rPr>
              <w:t xml:space="preserve"> </w:t>
            </w:r>
            <w:proofErr w:type="spellStart"/>
            <w:r w:rsidRPr="00D96D0B">
              <w:rPr>
                <w:rFonts w:cs="Calibri"/>
                <w:sz w:val="18"/>
                <w:szCs w:val="18"/>
                <w:lang w:val="en-US"/>
              </w:rPr>
              <w:t>Almustafa</w:t>
            </w:r>
            <w:proofErr w:type="spellEnd"/>
            <w:r w:rsidRPr="00D96D0B">
              <w:rPr>
                <w:rFonts w:cs="Calibri"/>
                <w:sz w:val="18"/>
                <w:szCs w:val="18"/>
                <w:lang w:val="en-US"/>
              </w:rPr>
              <w:t xml:space="preserve"> et al, 2018)</w:t>
            </w:r>
          </w:p>
        </w:tc>
      </w:tr>
      <w:tr w:rsidR="0049224B" w:rsidRPr="00D96D0B" w14:paraId="173CA473" w14:textId="77777777" w:rsidTr="004C6F29">
        <w:trPr>
          <w:cantSplit/>
          <w:trHeight w:val="20"/>
        </w:trPr>
        <w:tc>
          <w:tcPr>
            <w:tcW w:w="1617" w:type="dxa"/>
            <w:vMerge/>
            <w:vAlign w:val="center"/>
          </w:tcPr>
          <w:p w14:paraId="7E69D45C" w14:textId="77777777" w:rsidR="0049224B" w:rsidRPr="00D96D0B" w:rsidRDefault="0049224B" w:rsidP="004C6F29">
            <w:pPr>
              <w:rPr>
                <w:rFonts w:cstheme="minorHAnsi"/>
                <w:sz w:val="18"/>
                <w:szCs w:val="18"/>
                <w:lang w:val="en-US"/>
              </w:rPr>
            </w:pPr>
          </w:p>
        </w:tc>
        <w:tc>
          <w:tcPr>
            <w:tcW w:w="1621" w:type="dxa"/>
            <w:vAlign w:val="center"/>
          </w:tcPr>
          <w:p w14:paraId="3D04BCC4" w14:textId="3FBEA4C5" w:rsidR="0049224B" w:rsidRPr="00D96D0B" w:rsidRDefault="00A760D5" w:rsidP="004C6F29">
            <w:pPr>
              <w:jc w:val="center"/>
              <w:rPr>
                <w:rFonts w:cstheme="minorHAnsi"/>
                <w:sz w:val="18"/>
                <w:szCs w:val="18"/>
              </w:rPr>
            </w:pPr>
            <w:proofErr w:type="spellStart"/>
            <w:r w:rsidRPr="00D96D0B">
              <w:rPr>
                <w:rFonts w:cstheme="minorHAnsi"/>
                <w:sz w:val="18"/>
                <w:szCs w:val="18"/>
              </w:rPr>
              <w:t>Trichotomy</w:t>
            </w:r>
            <w:proofErr w:type="spellEnd"/>
          </w:p>
        </w:tc>
        <w:tc>
          <w:tcPr>
            <w:tcW w:w="1701" w:type="dxa"/>
            <w:shd w:val="clear" w:color="auto" w:fill="F2F2F2" w:themeFill="background1" w:themeFillShade="F2"/>
            <w:vAlign w:val="center"/>
          </w:tcPr>
          <w:p w14:paraId="79CA820B" w14:textId="77777777" w:rsidR="0049224B" w:rsidRPr="00D96D0B" w:rsidRDefault="0049224B" w:rsidP="004C6F29">
            <w:pPr>
              <w:jc w:val="center"/>
              <w:rPr>
                <w:rFonts w:cstheme="minorHAnsi"/>
                <w:sz w:val="18"/>
                <w:szCs w:val="18"/>
              </w:rPr>
            </w:pPr>
          </w:p>
        </w:tc>
        <w:tc>
          <w:tcPr>
            <w:tcW w:w="1701" w:type="dxa"/>
            <w:shd w:val="clear" w:color="auto" w:fill="F2F2F2" w:themeFill="background1" w:themeFillShade="F2"/>
            <w:vAlign w:val="center"/>
          </w:tcPr>
          <w:p w14:paraId="68EBCDD7" w14:textId="77777777" w:rsidR="0049224B" w:rsidRPr="00D96D0B" w:rsidRDefault="0049224B" w:rsidP="004C6F29">
            <w:pPr>
              <w:jc w:val="center"/>
              <w:rPr>
                <w:rFonts w:cstheme="minorHAnsi"/>
                <w:sz w:val="18"/>
                <w:szCs w:val="18"/>
              </w:rPr>
            </w:pPr>
          </w:p>
        </w:tc>
        <w:tc>
          <w:tcPr>
            <w:tcW w:w="3425" w:type="dxa"/>
            <w:shd w:val="clear" w:color="auto" w:fill="F2F2F2" w:themeFill="background1" w:themeFillShade="F2"/>
            <w:vAlign w:val="center"/>
          </w:tcPr>
          <w:p w14:paraId="39449609" w14:textId="47300622" w:rsidR="0049224B" w:rsidRPr="00D96D0B" w:rsidRDefault="00713648" w:rsidP="004C6F29">
            <w:pPr>
              <w:jc w:val="center"/>
              <w:rPr>
                <w:rFonts w:cstheme="minorHAnsi"/>
                <w:sz w:val="18"/>
                <w:szCs w:val="18"/>
              </w:rPr>
            </w:pPr>
            <w:r w:rsidRPr="00D96D0B">
              <w:rPr>
                <w:rFonts w:cs="Calibri"/>
                <w:sz w:val="18"/>
                <w:szCs w:val="18"/>
              </w:rPr>
              <w:t>(</w:t>
            </w:r>
            <w:proofErr w:type="spellStart"/>
            <w:r w:rsidRPr="00D96D0B">
              <w:rPr>
                <w:rFonts w:cs="Calibri"/>
                <w:sz w:val="18"/>
                <w:szCs w:val="18"/>
              </w:rPr>
              <w:t>Hijas-Gómez</w:t>
            </w:r>
            <w:proofErr w:type="spellEnd"/>
            <w:r w:rsidRPr="00D96D0B">
              <w:rPr>
                <w:rFonts w:cs="Calibri"/>
                <w:sz w:val="18"/>
                <w:szCs w:val="18"/>
              </w:rPr>
              <w:t xml:space="preserve"> </w:t>
            </w:r>
            <w:proofErr w:type="spellStart"/>
            <w:r w:rsidRPr="00D96D0B">
              <w:rPr>
                <w:rFonts w:cs="Calibri"/>
                <w:sz w:val="18"/>
                <w:szCs w:val="18"/>
              </w:rPr>
              <w:t>et</w:t>
            </w:r>
            <w:proofErr w:type="spellEnd"/>
            <w:r w:rsidRPr="00D96D0B">
              <w:rPr>
                <w:rFonts w:cs="Calibri"/>
                <w:sz w:val="18"/>
                <w:szCs w:val="18"/>
              </w:rPr>
              <w:t xml:space="preserve"> al, 2018)</w:t>
            </w:r>
          </w:p>
        </w:tc>
      </w:tr>
      <w:tr w:rsidR="0049224B" w:rsidRPr="00D96D0B" w14:paraId="538039F3" w14:textId="77777777" w:rsidTr="004C6F29">
        <w:trPr>
          <w:cantSplit/>
          <w:trHeight w:val="252"/>
        </w:trPr>
        <w:tc>
          <w:tcPr>
            <w:tcW w:w="1617" w:type="dxa"/>
            <w:vMerge w:val="restart"/>
            <w:vAlign w:val="center"/>
          </w:tcPr>
          <w:p w14:paraId="0C7D86B4" w14:textId="06C67D6F" w:rsidR="0049224B" w:rsidRPr="00D96D0B" w:rsidRDefault="00A760D5" w:rsidP="004C6F29">
            <w:pPr>
              <w:rPr>
                <w:rFonts w:cstheme="minorHAnsi"/>
                <w:sz w:val="18"/>
                <w:szCs w:val="18"/>
              </w:rPr>
            </w:pPr>
            <w:proofErr w:type="spellStart"/>
            <w:r w:rsidRPr="00D96D0B">
              <w:rPr>
                <w:rFonts w:cstheme="minorHAnsi"/>
                <w:sz w:val="18"/>
                <w:szCs w:val="18"/>
              </w:rPr>
              <w:t>Medication</w:t>
            </w:r>
            <w:proofErr w:type="spellEnd"/>
          </w:p>
        </w:tc>
        <w:tc>
          <w:tcPr>
            <w:tcW w:w="1621" w:type="dxa"/>
            <w:vAlign w:val="center"/>
          </w:tcPr>
          <w:p w14:paraId="46A56056" w14:textId="46EB911F" w:rsidR="0049224B" w:rsidRPr="00D96D0B" w:rsidRDefault="00A760D5" w:rsidP="004C6F29">
            <w:pPr>
              <w:jc w:val="center"/>
              <w:rPr>
                <w:rFonts w:cstheme="minorHAnsi"/>
                <w:sz w:val="18"/>
                <w:szCs w:val="18"/>
              </w:rPr>
            </w:pPr>
            <w:proofErr w:type="spellStart"/>
            <w:r w:rsidRPr="00D96D0B">
              <w:rPr>
                <w:rFonts w:cstheme="minorHAnsi"/>
                <w:sz w:val="18"/>
                <w:szCs w:val="18"/>
              </w:rPr>
              <w:t>Opioid</w:t>
            </w:r>
            <w:proofErr w:type="spellEnd"/>
            <w:r w:rsidRPr="00D96D0B">
              <w:rPr>
                <w:rFonts w:cstheme="minorHAnsi"/>
                <w:sz w:val="18"/>
                <w:szCs w:val="18"/>
              </w:rPr>
              <w:t xml:space="preserve"> </w:t>
            </w:r>
            <w:proofErr w:type="spellStart"/>
            <w:r w:rsidRPr="00D96D0B">
              <w:rPr>
                <w:rFonts w:cstheme="minorHAnsi"/>
                <w:sz w:val="18"/>
                <w:szCs w:val="18"/>
              </w:rPr>
              <w:t>medication</w:t>
            </w:r>
            <w:proofErr w:type="spellEnd"/>
            <w:r w:rsidRPr="00D96D0B">
              <w:rPr>
                <w:rFonts w:cstheme="minorHAnsi"/>
                <w:sz w:val="18"/>
                <w:szCs w:val="18"/>
              </w:rPr>
              <w:t xml:space="preserve"> &gt;6 </w:t>
            </w:r>
            <w:proofErr w:type="spellStart"/>
            <w:r w:rsidRPr="00D96D0B">
              <w:rPr>
                <w:rFonts w:cstheme="minorHAnsi"/>
                <w:sz w:val="18"/>
                <w:szCs w:val="18"/>
              </w:rPr>
              <w:t>months</w:t>
            </w:r>
            <w:proofErr w:type="spellEnd"/>
          </w:p>
        </w:tc>
        <w:tc>
          <w:tcPr>
            <w:tcW w:w="1701" w:type="dxa"/>
            <w:shd w:val="clear" w:color="auto" w:fill="F2F2F2" w:themeFill="background1" w:themeFillShade="F2"/>
            <w:vAlign w:val="center"/>
          </w:tcPr>
          <w:p w14:paraId="516D9EE1" w14:textId="77777777" w:rsidR="0049224B" w:rsidRPr="00D96D0B" w:rsidRDefault="0049224B" w:rsidP="004C6F29">
            <w:pPr>
              <w:jc w:val="center"/>
              <w:rPr>
                <w:rFonts w:cstheme="minorHAnsi"/>
                <w:sz w:val="18"/>
                <w:szCs w:val="18"/>
              </w:rPr>
            </w:pPr>
          </w:p>
        </w:tc>
        <w:tc>
          <w:tcPr>
            <w:tcW w:w="1701" w:type="dxa"/>
            <w:shd w:val="clear" w:color="auto" w:fill="F2F2F2" w:themeFill="background1" w:themeFillShade="F2"/>
            <w:vAlign w:val="center"/>
          </w:tcPr>
          <w:p w14:paraId="7574FD32" w14:textId="77777777" w:rsidR="0049224B" w:rsidRPr="00D96D0B" w:rsidRDefault="0049224B" w:rsidP="004C6F29">
            <w:pPr>
              <w:jc w:val="center"/>
              <w:rPr>
                <w:rFonts w:cstheme="minorHAnsi"/>
                <w:sz w:val="18"/>
                <w:szCs w:val="18"/>
              </w:rPr>
            </w:pPr>
          </w:p>
        </w:tc>
        <w:tc>
          <w:tcPr>
            <w:tcW w:w="3425" w:type="dxa"/>
            <w:shd w:val="clear" w:color="auto" w:fill="F2F2F2" w:themeFill="background1" w:themeFillShade="F2"/>
            <w:vAlign w:val="center"/>
          </w:tcPr>
          <w:p w14:paraId="242250BD" w14:textId="3A3497E7" w:rsidR="0049224B" w:rsidRPr="00D96D0B" w:rsidRDefault="00713648" w:rsidP="004C6F29">
            <w:pPr>
              <w:jc w:val="center"/>
              <w:rPr>
                <w:rFonts w:cstheme="minorHAnsi"/>
                <w:sz w:val="18"/>
                <w:szCs w:val="18"/>
              </w:rPr>
            </w:pPr>
            <w:r w:rsidRPr="00D96D0B">
              <w:rPr>
                <w:rFonts w:cs="Calibri"/>
                <w:sz w:val="18"/>
                <w:szCs w:val="18"/>
                <w:lang w:val="en-US"/>
              </w:rPr>
              <w:t>(Jain et al, 2019)</w:t>
            </w:r>
          </w:p>
        </w:tc>
      </w:tr>
      <w:tr w:rsidR="0049224B" w:rsidRPr="00D96D0B" w14:paraId="1D8BBBB3" w14:textId="77777777" w:rsidTr="004C6F29">
        <w:trPr>
          <w:cantSplit/>
          <w:trHeight w:val="222"/>
        </w:trPr>
        <w:tc>
          <w:tcPr>
            <w:tcW w:w="1617" w:type="dxa"/>
            <w:vMerge/>
            <w:vAlign w:val="center"/>
          </w:tcPr>
          <w:p w14:paraId="793C1091" w14:textId="77777777" w:rsidR="0049224B" w:rsidRPr="00D96D0B" w:rsidRDefault="0049224B" w:rsidP="004C6F29">
            <w:pPr>
              <w:rPr>
                <w:rFonts w:cstheme="minorHAnsi"/>
                <w:sz w:val="18"/>
                <w:szCs w:val="18"/>
              </w:rPr>
            </w:pPr>
          </w:p>
        </w:tc>
        <w:tc>
          <w:tcPr>
            <w:tcW w:w="1621" w:type="dxa"/>
            <w:vAlign w:val="center"/>
          </w:tcPr>
          <w:p w14:paraId="10547D18" w14:textId="64BCBCD4" w:rsidR="0049224B" w:rsidRPr="00D96D0B" w:rsidRDefault="00A760D5" w:rsidP="004C6F29">
            <w:pPr>
              <w:jc w:val="center"/>
              <w:rPr>
                <w:rFonts w:cstheme="minorHAnsi"/>
                <w:sz w:val="18"/>
                <w:szCs w:val="18"/>
              </w:rPr>
            </w:pPr>
            <w:proofErr w:type="spellStart"/>
            <w:r w:rsidRPr="00D96D0B">
              <w:rPr>
                <w:rFonts w:cstheme="minorHAnsi"/>
                <w:sz w:val="18"/>
                <w:szCs w:val="18"/>
              </w:rPr>
              <w:t>Warfarin</w:t>
            </w:r>
            <w:proofErr w:type="spellEnd"/>
            <w:r w:rsidRPr="00D96D0B">
              <w:rPr>
                <w:rFonts w:cstheme="minorHAnsi"/>
                <w:sz w:val="18"/>
                <w:szCs w:val="18"/>
              </w:rPr>
              <w:t xml:space="preserve"> </w:t>
            </w:r>
            <w:proofErr w:type="spellStart"/>
            <w:r w:rsidRPr="00D96D0B">
              <w:rPr>
                <w:rFonts w:cstheme="minorHAnsi"/>
                <w:sz w:val="18"/>
                <w:szCs w:val="18"/>
              </w:rPr>
              <w:t>or</w:t>
            </w:r>
            <w:proofErr w:type="spellEnd"/>
            <w:r w:rsidRPr="00D96D0B">
              <w:rPr>
                <w:rFonts w:cstheme="minorHAnsi"/>
                <w:sz w:val="18"/>
                <w:szCs w:val="18"/>
              </w:rPr>
              <w:t xml:space="preserve"> </w:t>
            </w:r>
            <w:proofErr w:type="spellStart"/>
            <w:r w:rsidRPr="00D96D0B">
              <w:rPr>
                <w:rFonts w:cstheme="minorHAnsi"/>
                <w:sz w:val="18"/>
                <w:szCs w:val="18"/>
              </w:rPr>
              <w:t>Rivaroxaban</w:t>
            </w:r>
            <w:proofErr w:type="spellEnd"/>
          </w:p>
        </w:tc>
        <w:tc>
          <w:tcPr>
            <w:tcW w:w="1701" w:type="dxa"/>
            <w:shd w:val="clear" w:color="auto" w:fill="F2F2F2" w:themeFill="background1" w:themeFillShade="F2"/>
            <w:vAlign w:val="center"/>
          </w:tcPr>
          <w:p w14:paraId="144FC349" w14:textId="77777777" w:rsidR="0049224B" w:rsidRPr="00D96D0B" w:rsidRDefault="0049224B" w:rsidP="004C6F29">
            <w:pPr>
              <w:jc w:val="center"/>
              <w:rPr>
                <w:rFonts w:cstheme="minorHAnsi"/>
                <w:sz w:val="18"/>
                <w:szCs w:val="18"/>
              </w:rPr>
            </w:pPr>
          </w:p>
        </w:tc>
        <w:tc>
          <w:tcPr>
            <w:tcW w:w="1701" w:type="dxa"/>
            <w:shd w:val="clear" w:color="auto" w:fill="F2F2F2" w:themeFill="background1" w:themeFillShade="F2"/>
            <w:vAlign w:val="center"/>
          </w:tcPr>
          <w:p w14:paraId="53037886" w14:textId="77777777" w:rsidR="0049224B" w:rsidRPr="00D96D0B" w:rsidRDefault="0049224B" w:rsidP="004C6F29">
            <w:pPr>
              <w:jc w:val="center"/>
              <w:rPr>
                <w:rFonts w:cstheme="minorHAnsi"/>
                <w:sz w:val="18"/>
                <w:szCs w:val="18"/>
              </w:rPr>
            </w:pPr>
          </w:p>
        </w:tc>
        <w:tc>
          <w:tcPr>
            <w:tcW w:w="3425" w:type="dxa"/>
            <w:shd w:val="clear" w:color="auto" w:fill="F2F2F2" w:themeFill="background1" w:themeFillShade="F2"/>
            <w:vAlign w:val="center"/>
          </w:tcPr>
          <w:p w14:paraId="47337E94" w14:textId="41A5ABF8" w:rsidR="0049224B" w:rsidRPr="00D96D0B" w:rsidRDefault="000D7B67" w:rsidP="004C6F29">
            <w:pPr>
              <w:jc w:val="center"/>
              <w:rPr>
                <w:rFonts w:cstheme="minorHAnsi"/>
                <w:sz w:val="18"/>
                <w:szCs w:val="18"/>
              </w:rPr>
            </w:pPr>
            <w:r w:rsidRPr="00D96D0B">
              <w:rPr>
                <w:rFonts w:cs="Calibri"/>
                <w:sz w:val="18"/>
                <w:szCs w:val="18"/>
                <w:lang w:val="en-US"/>
              </w:rPr>
              <w:t>(</w:t>
            </w:r>
            <w:proofErr w:type="spellStart"/>
            <w:r w:rsidRPr="00D96D0B">
              <w:rPr>
                <w:rFonts w:cs="Calibri"/>
                <w:sz w:val="18"/>
                <w:szCs w:val="18"/>
                <w:lang w:val="en-US"/>
              </w:rPr>
              <w:t>Almustafa</w:t>
            </w:r>
            <w:proofErr w:type="spellEnd"/>
            <w:r w:rsidRPr="00D96D0B">
              <w:rPr>
                <w:rFonts w:cs="Calibri"/>
                <w:sz w:val="18"/>
                <w:szCs w:val="18"/>
                <w:lang w:val="en-US"/>
              </w:rPr>
              <w:t xml:space="preserve"> et al, 2018)</w:t>
            </w:r>
          </w:p>
        </w:tc>
      </w:tr>
      <w:tr w:rsidR="0049224B" w:rsidRPr="00D96D0B" w14:paraId="57E7760D" w14:textId="77777777" w:rsidTr="004C6F29">
        <w:trPr>
          <w:cantSplit/>
          <w:trHeight w:val="265"/>
        </w:trPr>
        <w:tc>
          <w:tcPr>
            <w:tcW w:w="1617" w:type="dxa"/>
            <w:vMerge w:val="restart"/>
            <w:vAlign w:val="center"/>
          </w:tcPr>
          <w:p w14:paraId="14AC83E4" w14:textId="506CC319" w:rsidR="0049224B" w:rsidRPr="00D96D0B" w:rsidRDefault="00A760D5" w:rsidP="004C6F29">
            <w:pPr>
              <w:rPr>
                <w:rFonts w:cstheme="minorHAnsi"/>
                <w:sz w:val="18"/>
                <w:szCs w:val="18"/>
              </w:rPr>
            </w:pPr>
            <w:proofErr w:type="spellStart"/>
            <w:r w:rsidRPr="00D96D0B">
              <w:rPr>
                <w:rFonts w:cstheme="minorHAnsi"/>
                <w:sz w:val="18"/>
                <w:szCs w:val="18"/>
              </w:rPr>
              <w:t>Analytical</w:t>
            </w:r>
            <w:proofErr w:type="spellEnd"/>
          </w:p>
        </w:tc>
        <w:tc>
          <w:tcPr>
            <w:tcW w:w="5023" w:type="dxa"/>
            <w:gridSpan w:val="3"/>
            <w:vAlign w:val="center"/>
          </w:tcPr>
          <w:p w14:paraId="394C8EB5" w14:textId="7A243ACD" w:rsidR="0049224B" w:rsidRPr="00D96D0B" w:rsidRDefault="00A760D5" w:rsidP="004C6F29">
            <w:pPr>
              <w:jc w:val="center"/>
              <w:rPr>
                <w:rFonts w:cstheme="minorHAnsi"/>
                <w:sz w:val="18"/>
                <w:szCs w:val="18"/>
              </w:rPr>
            </w:pPr>
            <w:proofErr w:type="spellStart"/>
            <w:r w:rsidRPr="00D96D0B">
              <w:rPr>
                <w:rFonts w:cstheme="minorHAnsi"/>
                <w:sz w:val="18"/>
                <w:szCs w:val="18"/>
              </w:rPr>
              <w:t>Iron</w:t>
            </w:r>
            <w:proofErr w:type="spellEnd"/>
            <w:r w:rsidRPr="00D96D0B">
              <w:rPr>
                <w:rFonts w:cstheme="minorHAnsi"/>
                <w:sz w:val="18"/>
                <w:szCs w:val="18"/>
              </w:rPr>
              <w:t xml:space="preserve"> </w:t>
            </w:r>
            <w:proofErr w:type="spellStart"/>
            <w:r w:rsidRPr="00D96D0B">
              <w:rPr>
                <w:rFonts w:cstheme="minorHAnsi"/>
                <w:sz w:val="18"/>
                <w:szCs w:val="18"/>
              </w:rPr>
              <w:t>deficiency</w:t>
            </w:r>
            <w:proofErr w:type="spellEnd"/>
            <w:r w:rsidRPr="00D96D0B">
              <w:rPr>
                <w:rFonts w:cstheme="minorHAnsi"/>
                <w:sz w:val="18"/>
                <w:szCs w:val="18"/>
              </w:rPr>
              <w:t xml:space="preserve"> anemia</w:t>
            </w:r>
          </w:p>
        </w:tc>
        <w:tc>
          <w:tcPr>
            <w:tcW w:w="3425" w:type="dxa"/>
            <w:shd w:val="clear" w:color="auto" w:fill="F2F2F2" w:themeFill="background1" w:themeFillShade="F2"/>
            <w:vAlign w:val="center"/>
          </w:tcPr>
          <w:p w14:paraId="490B772B" w14:textId="1AA0E669" w:rsidR="0049224B" w:rsidRPr="00D96D0B" w:rsidRDefault="000D7B67" w:rsidP="004C6F29">
            <w:pPr>
              <w:jc w:val="center"/>
              <w:rPr>
                <w:rFonts w:cstheme="minorHAnsi"/>
                <w:sz w:val="18"/>
                <w:szCs w:val="18"/>
              </w:rPr>
            </w:pPr>
            <w:r w:rsidRPr="00D96D0B">
              <w:rPr>
                <w:rFonts w:cs="Calibri"/>
                <w:sz w:val="18"/>
                <w:szCs w:val="18"/>
                <w:lang w:val="en-US"/>
              </w:rPr>
              <w:t>(Sodhi et al, 2020)</w:t>
            </w:r>
          </w:p>
        </w:tc>
      </w:tr>
      <w:tr w:rsidR="0049224B" w:rsidRPr="00D96D0B" w14:paraId="799A5138" w14:textId="77777777" w:rsidTr="004C6F29">
        <w:trPr>
          <w:cantSplit/>
          <w:trHeight w:val="255"/>
        </w:trPr>
        <w:tc>
          <w:tcPr>
            <w:tcW w:w="1617" w:type="dxa"/>
            <w:vMerge/>
            <w:vAlign w:val="center"/>
          </w:tcPr>
          <w:p w14:paraId="65A8AADC" w14:textId="77777777" w:rsidR="0049224B" w:rsidRPr="00D96D0B" w:rsidRDefault="0049224B" w:rsidP="004C6F29">
            <w:pPr>
              <w:rPr>
                <w:rFonts w:cstheme="minorHAnsi"/>
                <w:sz w:val="18"/>
                <w:szCs w:val="18"/>
              </w:rPr>
            </w:pPr>
          </w:p>
        </w:tc>
        <w:tc>
          <w:tcPr>
            <w:tcW w:w="5023" w:type="dxa"/>
            <w:gridSpan w:val="3"/>
            <w:vAlign w:val="center"/>
          </w:tcPr>
          <w:p w14:paraId="12AFA778" w14:textId="054DF35D" w:rsidR="0049224B" w:rsidRPr="00D96D0B" w:rsidRDefault="00A760D5" w:rsidP="004C6F29">
            <w:pPr>
              <w:jc w:val="center"/>
              <w:rPr>
                <w:rFonts w:cstheme="minorHAnsi"/>
                <w:sz w:val="18"/>
                <w:szCs w:val="18"/>
              </w:rPr>
            </w:pPr>
            <w:proofErr w:type="spellStart"/>
            <w:r w:rsidRPr="00D96D0B">
              <w:rPr>
                <w:rFonts w:cstheme="minorHAnsi"/>
                <w:sz w:val="18"/>
                <w:szCs w:val="18"/>
              </w:rPr>
              <w:t>Electrolyte</w:t>
            </w:r>
            <w:proofErr w:type="spellEnd"/>
            <w:r w:rsidRPr="00D96D0B">
              <w:rPr>
                <w:rFonts w:cstheme="minorHAnsi"/>
                <w:sz w:val="18"/>
                <w:szCs w:val="18"/>
              </w:rPr>
              <w:t xml:space="preserve"> </w:t>
            </w:r>
            <w:proofErr w:type="spellStart"/>
            <w:r w:rsidRPr="00D96D0B">
              <w:rPr>
                <w:rFonts w:cstheme="minorHAnsi"/>
                <w:sz w:val="18"/>
                <w:szCs w:val="18"/>
              </w:rPr>
              <w:t>imbalance</w:t>
            </w:r>
            <w:proofErr w:type="spellEnd"/>
          </w:p>
        </w:tc>
        <w:tc>
          <w:tcPr>
            <w:tcW w:w="3425" w:type="dxa"/>
            <w:shd w:val="clear" w:color="auto" w:fill="F2F2F2" w:themeFill="background1" w:themeFillShade="F2"/>
            <w:vAlign w:val="center"/>
          </w:tcPr>
          <w:p w14:paraId="77B86F7F" w14:textId="464406F5" w:rsidR="0049224B" w:rsidRPr="00D96D0B" w:rsidRDefault="000D7B67" w:rsidP="004C6F29">
            <w:pPr>
              <w:jc w:val="center"/>
              <w:rPr>
                <w:rFonts w:cstheme="minorHAnsi"/>
                <w:sz w:val="18"/>
                <w:szCs w:val="18"/>
              </w:rPr>
            </w:pPr>
            <w:r w:rsidRPr="00D96D0B">
              <w:rPr>
                <w:rFonts w:cs="Calibri"/>
                <w:sz w:val="18"/>
                <w:szCs w:val="18"/>
                <w:lang w:val="en-US"/>
              </w:rPr>
              <w:t>(Sodhi et al, 2020)</w:t>
            </w:r>
          </w:p>
        </w:tc>
      </w:tr>
      <w:tr w:rsidR="0049224B" w:rsidRPr="00D96D0B" w14:paraId="398ED9E9" w14:textId="77777777" w:rsidTr="004C6F29">
        <w:trPr>
          <w:cantSplit/>
          <w:trHeight w:val="429"/>
        </w:trPr>
        <w:tc>
          <w:tcPr>
            <w:tcW w:w="1617" w:type="dxa"/>
            <w:vAlign w:val="center"/>
          </w:tcPr>
          <w:p w14:paraId="302ADBBD" w14:textId="387D2EFC" w:rsidR="0049224B" w:rsidRPr="00D96D0B" w:rsidRDefault="00A760D5" w:rsidP="004C6F29">
            <w:pPr>
              <w:rPr>
                <w:rFonts w:cstheme="minorHAnsi"/>
                <w:sz w:val="18"/>
                <w:szCs w:val="18"/>
              </w:rPr>
            </w:pPr>
            <w:proofErr w:type="spellStart"/>
            <w:r w:rsidRPr="00D96D0B">
              <w:rPr>
                <w:rFonts w:cstheme="minorHAnsi"/>
                <w:sz w:val="18"/>
                <w:szCs w:val="18"/>
              </w:rPr>
              <w:t>Wound</w:t>
            </w:r>
            <w:proofErr w:type="spellEnd"/>
            <w:r w:rsidRPr="00D96D0B">
              <w:rPr>
                <w:rFonts w:cstheme="minorHAnsi"/>
                <w:sz w:val="18"/>
                <w:szCs w:val="18"/>
              </w:rPr>
              <w:t xml:space="preserve"> </w:t>
            </w:r>
            <w:proofErr w:type="spellStart"/>
            <w:r w:rsidRPr="00D96D0B">
              <w:rPr>
                <w:rFonts w:cstheme="minorHAnsi"/>
                <w:sz w:val="18"/>
                <w:szCs w:val="18"/>
              </w:rPr>
              <w:t>Closure</w:t>
            </w:r>
            <w:proofErr w:type="spellEnd"/>
          </w:p>
        </w:tc>
        <w:tc>
          <w:tcPr>
            <w:tcW w:w="1621" w:type="dxa"/>
            <w:shd w:val="clear" w:color="auto" w:fill="F2F2F2" w:themeFill="background1" w:themeFillShade="F2"/>
            <w:vAlign w:val="center"/>
          </w:tcPr>
          <w:p w14:paraId="773CA804" w14:textId="77777777" w:rsidR="0049224B" w:rsidRPr="00D96D0B" w:rsidRDefault="0049224B" w:rsidP="004C6F29">
            <w:pPr>
              <w:jc w:val="center"/>
              <w:rPr>
                <w:rFonts w:cstheme="minorHAnsi"/>
                <w:sz w:val="18"/>
                <w:szCs w:val="18"/>
              </w:rPr>
            </w:pPr>
          </w:p>
        </w:tc>
        <w:tc>
          <w:tcPr>
            <w:tcW w:w="1701" w:type="dxa"/>
            <w:vAlign w:val="center"/>
          </w:tcPr>
          <w:p w14:paraId="6D0690CB" w14:textId="626AF4E2" w:rsidR="0049224B" w:rsidRPr="00D96D0B" w:rsidRDefault="00A760D5" w:rsidP="004C6F29">
            <w:pPr>
              <w:jc w:val="center"/>
              <w:rPr>
                <w:rFonts w:cstheme="minorHAnsi"/>
                <w:sz w:val="18"/>
                <w:szCs w:val="18"/>
              </w:rPr>
            </w:pPr>
            <w:proofErr w:type="spellStart"/>
            <w:r w:rsidRPr="00D96D0B">
              <w:rPr>
                <w:rFonts w:cstheme="minorHAnsi"/>
                <w:sz w:val="18"/>
                <w:szCs w:val="18"/>
              </w:rPr>
              <w:t>Cyanoacrylate</w:t>
            </w:r>
            <w:proofErr w:type="spellEnd"/>
            <w:r w:rsidRPr="00D96D0B">
              <w:rPr>
                <w:rFonts w:cstheme="minorHAnsi"/>
                <w:sz w:val="18"/>
                <w:szCs w:val="18"/>
              </w:rPr>
              <w:t xml:space="preserve"> Skin </w:t>
            </w:r>
            <w:proofErr w:type="spellStart"/>
            <w:r w:rsidRPr="00D96D0B">
              <w:rPr>
                <w:rFonts w:cstheme="minorHAnsi"/>
                <w:sz w:val="18"/>
                <w:szCs w:val="18"/>
              </w:rPr>
              <w:t>Glue</w:t>
            </w:r>
            <w:proofErr w:type="spellEnd"/>
          </w:p>
        </w:tc>
        <w:tc>
          <w:tcPr>
            <w:tcW w:w="1701" w:type="dxa"/>
            <w:shd w:val="clear" w:color="auto" w:fill="F2F2F2" w:themeFill="background1" w:themeFillShade="F2"/>
            <w:vAlign w:val="center"/>
          </w:tcPr>
          <w:p w14:paraId="2FEDB8F4" w14:textId="77777777" w:rsidR="0049224B" w:rsidRPr="00D96D0B" w:rsidRDefault="0049224B" w:rsidP="004C6F29">
            <w:pPr>
              <w:jc w:val="center"/>
              <w:rPr>
                <w:rFonts w:cstheme="minorHAnsi"/>
                <w:sz w:val="18"/>
                <w:szCs w:val="18"/>
              </w:rPr>
            </w:pPr>
          </w:p>
        </w:tc>
        <w:tc>
          <w:tcPr>
            <w:tcW w:w="3425" w:type="dxa"/>
            <w:shd w:val="clear" w:color="auto" w:fill="F2F2F2" w:themeFill="background1" w:themeFillShade="F2"/>
            <w:vAlign w:val="center"/>
          </w:tcPr>
          <w:p w14:paraId="4DDD3032" w14:textId="7B405961" w:rsidR="0049224B" w:rsidRPr="00D96D0B" w:rsidRDefault="000D7B67" w:rsidP="004C6F29">
            <w:pPr>
              <w:jc w:val="center"/>
              <w:rPr>
                <w:rFonts w:cstheme="minorHAnsi"/>
                <w:sz w:val="18"/>
                <w:szCs w:val="18"/>
              </w:rPr>
            </w:pPr>
            <w:r w:rsidRPr="00D96D0B">
              <w:rPr>
                <w:rFonts w:cs="Calibri"/>
                <w:sz w:val="18"/>
                <w:szCs w:val="18"/>
                <w:lang w:val="en-US"/>
              </w:rPr>
              <w:t>(</w:t>
            </w:r>
            <w:proofErr w:type="spellStart"/>
            <w:r w:rsidRPr="00D96D0B">
              <w:rPr>
                <w:rFonts w:cs="Calibri"/>
                <w:sz w:val="18"/>
                <w:szCs w:val="18"/>
                <w:lang w:val="en-US"/>
              </w:rPr>
              <w:t>Almustafa</w:t>
            </w:r>
            <w:proofErr w:type="spellEnd"/>
            <w:r w:rsidRPr="00D96D0B">
              <w:rPr>
                <w:rFonts w:cs="Calibri"/>
                <w:sz w:val="18"/>
                <w:szCs w:val="18"/>
                <w:lang w:val="en-US"/>
              </w:rPr>
              <w:t xml:space="preserve"> et al, 2018)</w:t>
            </w:r>
          </w:p>
        </w:tc>
      </w:tr>
    </w:tbl>
    <w:p w14:paraId="78DE62DA" w14:textId="77777777" w:rsidR="004C6F29" w:rsidRDefault="004C6F29" w:rsidP="00382212">
      <w:pPr>
        <w:spacing w:after="0" w:line="360" w:lineRule="auto"/>
        <w:jc w:val="both"/>
        <w:rPr>
          <w:rFonts w:cstheme="minorHAnsi"/>
        </w:rPr>
      </w:pPr>
    </w:p>
    <w:p w14:paraId="00006844" w14:textId="77777777" w:rsidR="004E5C36" w:rsidRDefault="004E5C36" w:rsidP="004E5C36">
      <w:pPr>
        <w:spacing w:after="120" w:line="360" w:lineRule="auto"/>
        <w:jc w:val="both"/>
        <w:rPr>
          <w:rFonts w:cstheme="minorHAnsi"/>
          <w:b/>
          <w:bCs/>
        </w:rPr>
        <w:sectPr w:rsidR="004E5C36" w:rsidSect="004E5C36">
          <w:type w:val="continuous"/>
          <w:pgSz w:w="11906" w:h="16838"/>
          <w:pgMar w:top="1135" w:right="1080" w:bottom="1418" w:left="1080" w:header="709" w:footer="709" w:gutter="0"/>
          <w:cols w:space="708"/>
          <w:titlePg/>
          <w:docGrid w:linePitch="360"/>
        </w:sectPr>
      </w:pPr>
    </w:p>
    <w:p w14:paraId="3648C780" w14:textId="5B4B7543" w:rsidR="003707EA" w:rsidRPr="004E5C36" w:rsidRDefault="00D96D0B" w:rsidP="004E5C36">
      <w:pPr>
        <w:spacing w:after="0" w:line="360" w:lineRule="auto"/>
        <w:ind w:left="-170" w:right="-170"/>
        <w:jc w:val="both"/>
        <w:rPr>
          <w:rFonts w:cstheme="minorHAnsi"/>
          <w:b/>
          <w:bCs/>
        </w:rPr>
      </w:pPr>
      <w:r w:rsidRPr="004E5C36">
        <w:rPr>
          <w:rFonts w:cstheme="minorHAnsi"/>
          <w:b/>
          <w:bCs/>
        </w:rPr>
        <w:t>DISCUSSION</w:t>
      </w:r>
    </w:p>
    <w:p w14:paraId="436A3CD6" w14:textId="77777777" w:rsidR="00A760D5" w:rsidRPr="00A760D5" w:rsidRDefault="00A760D5" w:rsidP="004E5C36">
      <w:pPr>
        <w:spacing w:after="0" w:line="360" w:lineRule="auto"/>
        <w:ind w:left="-170" w:right="-170"/>
        <w:jc w:val="both"/>
        <w:rPr>
          <w:rFonts w:cstheme="minorHAnsi"/>
          <w:lang w:val="en-US"/>
        </w:rPr>
      </w:pPr>
      <w:r w:rsidRPr="00A760D5">
        <w:rPr>
          <w:rFonts w:cstheme="minorHAnsi"/>
          <w:lang w:val="en-US"/>
        </w:rPr>
        <w:t>The present review aims to answer the question “What are the risk factors for SSI after knee arthroplasty?”. The most used methodology in the 27 included studies was retrospective.</w:t>
      </w:r>
    </w:p>
    <w:p w14:paraId="5DACADB0" w14:textId="77777777" w:rsidR="00A760D5" w:rsidRPr="00A760D5" w:rsidRDefault="00A760D5" w:rsidP="004E5C36">
      <w:pPr>
        <w:spacing w:after="0" w:line="360" w:lineRule="auto"/>
        <w:ind w:left="-170" w:right="-170"/>
        <w:jc w:val="both"/>
        <w:rPr>
          <w:rFonts w:cstheme="minorHAnsi"/>
          <w:lang w:val="en-US"/>
        </w:rPr>
      </w:pPr>
      <w:r w:rsidRPr="00A760D5">
        <w:rPr>
          <w:rFonts w:cstheme="minorHAnsi"/>
          <w:lang w:val="en-US"/>
        </w:rPr>
        <w:t xml:space="preserve">With the increase in average life expectancy in recent years, health care for the elderly population is considered a major challenge </w:t>
      </w:r>
      <w:proofErr w:type="gramStart"/>
      <w:r w:rsidRPr="00A760D5">
        <w:rPr>
          <w:rFonts w:cstheme="minorHAnsi"/>
          <w:lang w:val="en-US"/>
        </w:rPr>
        <w:t>in the near future</w:t>
      </w:r>
      <w:proofErr w:type="gramEnd"/>
      <w:r w:rsidRPr="00A760D5">
        <w:rPr>
          <w:rFonts w:cstheme="minorHAnsi"/>
          <w:lang w:val="en-US"/>
        </w:rPr>
        <w:t>, as this age group is more vulnerable to adverse events, including infections.</w:t>
      </w:r>
    </w:p>
    <w:p w14:paraId="449031DF" w14:textId="77777777" w:rsidR="00A760D5" w:rsidRPr="00A760D5" w:rsidRDefault="00A760D5" w:rsidP="004E5C36">
      <w:pPr>
        <w:spacing w:after="0" w:line="360" w:lineRule="auto"/>
        <w:ind w:left="-170" w:right="-170"/>
        <w:jc w:val="both"/>
        <w:rPr>
          <w:rFonts w:cstheme="minorHAnsi"/>
          <w:lang w:val="en-US"/>
        </w:rPr>
      </w:pPr>
      <w:r w:rsidRPr="00A760D5">
        <w:rPr>
          <w:rFonts w:cstheme="minorHAnsi"/>
          <w:lang w:val="en-US"/>
        </w:rPr>
        <w:t>Knee arthroplasty is recognized as one of the most performed types of surgery in the world, and mainly involves elderly people, with the rate of SSIs expected to increase in the same proportion, and it has been possible to identify the risk factors for SSIs (modifiable and non-modifiable) in the pre, intra and post-operative period.</w:t>
      </w:r>
    </w:p>
    <w:p w14:paraId="6AD6184B" w14:textId="77777777" w:rsidR="00A760D5" w:rsidRPr="00A760D5" w:rsidRDefault="00A760D5" w:rsidP="004E5C36">
      <w:pPr>
        <w:spacing w:after="0" w:line="360" w:lineRule="auto"/>
        <w:ind w:left="-170" w:right="-170"/>
        <w:jc w:val="both"/>
        <w:rPr>
          <w:rFonts w:cstheme="minorHAnsi"/>
          <w:lang w:val="en-US"/>
        </w:rPr>
      </w:pPr>
      <w:r w:rsidRPr="00A760D5">
        <w:rPr>
          <w:rFonts w:cstheme="minorHAnsi"/>
          <w:lang w:val="en-US"/>
        </w:rPr>
        <w:t xml:space="preserve">A systematic review and meta-analysis from 2018 </w:t>
      </w:r>
      <w:proofErr w:type="gramStart"/>
      <w:r w:rsidRPr="00A760D5">
        <w:rPr>
          <w:rFonts w:cstheme="minorHAnsi"/>
          <w:lang w:val="en-US"/>
        </w:rPr>
        <w:t>was</w:t>
      </w:r>
      <w:proofErr w:type="gramEnd"/>
      <w:r w:rsidRPr="00A760D5">
        <w:rPr>
          <w:rFonts w:cstheme="minorHAnsi"/>
          <w:lang w:val="en-US"/>
        </w:rPr>
        <w:t xml:space="preserve"> </w:t>
      </w:r>
      <w:proofErr w:type="gramStart"/>
      <w:r w:rsidRPr="00A760D5">
        <w:rPr>
          <w:rFonts w:cstheme="minorHAnsi"/>
          <w:lang w:val="en-US"/>
        </w:rPr>
        <w:t>identified,</w:t>
      </w:r>
      <w:proofErr w:type="gramEnd"/>
      <w:r w:rsidRPr="00A760D5">
        <w:rPr>
          <w:rFonts w:cstheme="minorHAnsi"/>
          <w:lang w:val="en-US"/>
        </w:rPr>
        <w:t xml:space="preserve"> where studies up to 2017 were included, </w:t>
      </w:r>
      <w:r w:rsidRPr="00A760D5">
        <w:rPr>
          <w:rFonts w:cstheme="minorHAnsi"/>
          <w:lang w:val="en-US"/>
        </w:rPr>
        <w:t xml:space="preserve">revealing it to be pertinent that this </w:t>
      </w:r>
      <w:proofErr w:type="spellStart"/>
      <w:r w:rsidRPr="00A760D5">
        <w:rPr>
          <w:rFonts w:cstheme="minorHAnsi"/>
          <w:lang w:val="en-US"/>
        </w:rPr>
        <w:t>ScR</w:t>
      </w:r>
      <w:proofErr w:type="spellEnd"/>
      <w:r w:rsidRPr="00A760D5">
        <w:rPr>
          <w:rFonts w:cstheme="minorHAnsi"/>
          <w:lang w:val="en-US"/>
        </w:rPr>
        <w:t xml:space="preserve"> had its starting point in this review, </w:t>
      </w:r>
      <w:proofErr w:type="gramStart"/>
      <w:r w:rsidRPr="00A760D5">
        <w:rPr>
          <w:rFonts w:cstheme="minorHAnsi"/>
          <w:lang w:val="en-US"/>
        </w:rPr>
        <w:t>in order to</w:t>
      </w:r>
      <w:proofErr w:type="gramEnd"/>
      <w:r w:rsidRPr="00A760D5">
        <w:rPr>
          <w:rFonts w:cstheme="minorHAnsi"/>
          <w:lang w:val="en-US"/>
        </w:rPr>
        <w:t xml:space="preserve"> map the most recent scientific evidence.</w:t>
      </w:r>
    </w:p>
    <w:p w14:paraId="2CC9C92A" w14:textId="286871A4" w:rsidR="00A760D5" w:rsidRDefault="00A760D5" w:rsidP="004E5C36">
      <w:pPr>
        <w:spacing w:after="0" w:line="360" w:lineRule="auto"/>
        <w:ind w:left="-170" w:right="-170"/>
        <w:jc w:val="both"/>
        <w:rPr>
          <w:rFonts w:cstheme="minorHAnsi"/>
          <w:lang w:val="en-US"/>
        </w:rPr>
      </w:pPr>
      <w:r w:rsidRPr="00A760D5">
        <w:rPr>
          <w:rFonts w:cstheme="minorHAnsi"/>
          <w:lang w:val="en-US"/>
        </w:rPr>
        <w:t>Resende et al. (2018), authors of the systematic review and meta-analysis identified, aimed to identify the main risk factors for infection in the periprosthetic joint in patients undergoing total hip arthroplasty (T</w:t>
      </w:r>
      <w:r w:rsidR="00EF07FF">
        <w:rPr>
          <w:rFonts w:cstheme="minorHAnsi"/>
          <w:lang w:val="en-US"/>
        </w:rPr>
        <w:t>H</w:t>
      </w:r>
      <w:r w:rsidRPr="00A760D5">
        <w:rPr>
          <w:rFonts w:cstheme="minorHAnsi"/>
          <w:lang w:val="en-US"/>
        </w:rPr>
        <w:t xml:space="preserve">A) and knee arthroplasty. This study resulted in the mapping of risk factors for </w:t>
      </w:r>
      <w:r w:rsidR="00EF07FF">
        <w:rPr>
          <w:rFonts w:cstheme="minorHAnsi"/>
          <w:lang w:val="en-US"/>
        </w:rPr>
        <w:t>SSI</w:t>
      </w:r>
      <w:r w:rsidRPr="00A760D5">
        <w:rPr>
          <w:rFonts w:cstheme="minorHAnsi"/>
          <w:lang w:val="en-US"/>
        </w:rPr>
        <w:t xml:space="preserve"> after knee arthroplasty, such as: Male Gender; Diabetes Mellitus; Congestive Heart Disease; Chronic Lung Disease; Coagulopathy; Arterial Hypertension; Rheumatoid arthritis; Immunosuppression Therapy; Malnutrition, Alcoholic Habits; Urinary Tract Infection, ASA ≥3 The risk factors after TKA and T</w:t>
      </w:r>
      <w:r w:rsidR="00EF07FF">
        <w:rPr>
          <w:rFonts w:cstheme="minorHAnsi"/>
          <w:lang w:val="en-US"/>
        </w:rPr>
        <w:t>H</w:t>
      </w:r>
      <w:r w:rsidRPr="00A760D5">
        <w:rPr>
          <w:rFonts w:cstheme="minorHAnsi"/>
          <w:lang w:val="en-US"/>
        </w:rPr>
        <w:t xml:space="preserve">A simultaneously are also mentioned, since most of the risks identified are the same for both types of surgical intervention, highlighting only the differences. He considered advanced age as a protective factor against infections, recognizing that </w:t>
      </w:r>
      <w:proofErr w:type="gramStart"/>
      <w:r w:rsidRPr="00A760D5">
        <w:rPr>
          <w:rFonts w:cstheme="minorHAnsi"/>
          <w:lang w:val="en-US"/>
        </w:rPr>
        <w:lastRenderedPageBreak/>
        <w:t>the literature</w:t>
      </w:r>
      <w:proofErr w:type="gramEnd"/>
      <w:r w:rsidRPr="00A760D5">
        <w:rPr>
          <w:rFonts w:cstheme="minorHAnsi"/>
          <w:lang w:val="en-US"/>
        </w:rPr>
        <w:t xml:space="preserve"> shows exactly the opposite. However, the author mentions that only studies that included the average age were included. </w:t>
      </w:r>
    </w:p>
    <w:p w14:paraId="78E83583" w14:textId="4C92C996" w:rsidR="00A760D5" w:rsidRPr="00A760D5" w:rsidRDefault="00A760D5" w:rsidP="004E5C36">
      <w:pPr>
        <w:spacing w:after="0" w:line="360" w:lineRule="auto"/>
        <w:ind w:left="-170" w:right="-170"/>
        <w:jc w:val="both"/>
        <w:rPr>
          <w:rFonts w:cstheme="minorHAnsi"/>
          <w:noProof/>
          <w:lang w:val="en-US"/>
        </w:rPr>
      </w:pPr>
      <w:r w:rsidRPr="00A760D5">
        <w:rPr>
          <w:rFonts w:cstheme="minorHAnsi"/>
          <w:noProof/>
          <w:lang w:val="en-US"/>
        </w:rPr>
        <w:t xml:space="preserve">In this ScR, risk factors were mapped from 2018 onwards, and some identical ones were confirmed, such as: Male Gender; Coagulopathy; Diabetes Mellitus; Obesity; Arterial Hypertension, Immunosuppressive Therapy; Corticosteroids; Rheumatoid arthritis; Postoperative Urinary Tract Infection, Congestive Heart Failure, others were considered in conflict, such as Osteoarthritis, Blood Transfusion and ASA ≥3. New </w:t>
      </w:r>
      <w:r w:rsidR="00EF07FF">
        <w:rPr>
          <w:rFonts w:cstheme="minorHAnsi"/>
          <w:noProof/>
          <w:lang w:val="en-US"/>
        </w:rPr>
        <w:t>SSIs</w:t>
      </w:r>
      <w:r w:rsidRPr="00A760D5">
        <w:rPr>
          <w:rFonts w:cstheme="minorHAnsi"/>
          <w:noProof/>
          <w:lang w:val="en-US"/>
        </w:rPr>
        <w:t xml:space="preserve"> risk factors were also identified after </w:t>
      </w:r>
      <w:r w:rsidR="00EF07FF">
        <w:rPr>
          <w:rFonts w:cstheme="minorHAnsi"/>
          <w:noProof/>
          <w:lang w:val="en-US"/>
        </w:rPr>
        <w:t>TKA</w:t>
      </w:r>
      <w:r w:rsidRPr="00A760D5">
        <w:rPr>
          <w:rFonts w:cstheme="minorHAnsi"/>
          <w:noProof/>
          <w:lang w:val="en-US"/>
        </w:rPr>
        <w:t xml:space="preserve"> that should be considered in nursing interventions to the perioperative person, such as increased central sensitization, countries with lower socioeconomic development, serum neutrophilia, renal impairment in dialysis, postoperative peripheral disease, depression, seasonality (summer), Ahlbäck Disease, high-</w:t>
      </w:r>
      <w:r w:rsidR="00815217">
        <w:rPr>
          <w:rFonts w:cstheme="minorHAnsi"/>
          <w:noProof/>
          <w:lang w:val="en-US"/>
        </w:rPr>
        <w:t>prepatellar</w:t>
      </w:r>
      <w:r w:rsidRPr="00A760D5">
        <w:rPr>
          <w:rFonts w:cstheme="minorHAnsi"/>
          <w:noProof/>
          <w:lang w:val="en-US"/>
        </w:rPr>
        <w:t xml:space="preserve"> fat. </w:t>
      </w:r>
      <w:r w:rsidR="00815217">
        <w:rPr>
          <w:rFonts w:cstheme="minorHAnsi"/>
          <w:noProof/>
          <w:lang w:val="en-US"/>
        </w:rPr>
        <w:t xml:space="preserve">Extended surgery </w:t>
      </w:r>
      <w:r w:rsidR="00815217" w:rsidRPr="00815217">
        <w:rPr>
          <w:rFonts w:cstheme="minorHAnsi"/>
          <w:noProof/>
          <w:lang w:val="en-US"/>
        </w:rPr>
        <w:t>duration</w:t>
      </w:r>
      <w:r w:rsidRPr="00A760D5">
        <w:rPr>
          <w:rFonts w:cstheme="minorHAnsi"/>
          <w:noProof/>
          <w:lang w:val="en-US"/>
        </w:rPr>
        <w:t xml:space="preserve">, bilateral and revision procedure, malnutrition, low albumin and low </w:t>
      </w:r>
      <w:r w:rsidR="00815217" w:rsidRPr="00815217">
        <w:rPr>
          <w:rFonts w:cstheme="minorHAnsi"/>
          <w:lang w:val="en-US"/>
        </w:rPr>
        <w:t>MCV</w:t>
      </w:r>
      <w:r w:rsidRPr="00A760D5">
        <w:rPr>
          <w:rFonts w:cstheme="minorHAnsi"/>
          <w:noProof/>
          <w:lang w:val="en-US"/>
        </w:rPr>
        <w:t xml:space="preserve"> values, low quality ventilation, non-compliance with guidelines (perioperative antibiotic therapy, v</w:t>
      </w:r>
      <w:r w:rsidR="00815217">
        <w:rPr>
          <w:rFonts w:cstheme="minorHAnsi"/>
          <w:noProof/>
          <w:lang w:val="en-US"/>
        </w:rPr>
        <w:t>e</w:t>
      </w:r>
      <w:r w:rsidRPr="00A760D5">
        <w:rPr>
          <w:rFonts w:cstheme="minorHAnsi"/>
          <w:noProof/>
          <w:lang w:val="en-US"/>
        </w:rPr>
        <w:t xml:space="preserve">nous thromboembolism and preoperative trichotomy), use of pre-operative opioids greater than 6 months, musculoskeletal dysplasia, liver disease, hospitalization of 35 days, </w:t>
      </w:r>
      <w:r w:rsidR="00815217">
        <w:rPr>
          <w:rFonts w:cstheme="minorHAnsi"/>
          <w:noProof/>
          <w:lang w:val="en-US"/>
        </w:rPr>
        <w:t xml:space="preserve">prolonged </w:t>
      </w:r>
      <w:r w:rsidRPr="00A760D5">
        <w:rPr>
          <w:rFonts w:cstheme="minorHAnsi"/>
          <w:noProof/>
          <w:lang w:val="en-US"/>
        </w:rPr>
        <w:t xml:space="preserve">storage </w:t>
      </w:r>
      <w:r w:rsidR="00815217">
        <w:rPr>
          <w:rFonts w:cstheme="minorHAnsi"/>
          <w:noProof/>
          <w:lang w:val="en-US"/>
        </w:rPr>
        <w:t>of b</w:t>
      </w:r>
      <w:r w:rsidRPr="00A760D5">
        <w:rPr>
          <w:rFonts w:cstheme="minorHAnsi"/>
          <w:noProof/>
          <w:lang w:val="en-US"/>
        </w:rPr>
        <w:t xml:space="preserve">lood </w:t>
      </w:r>
      <w:r w:rsidR="00815217">
        <w:rPr>
          <w:rFonts w:cstheme="minorHAnsi"/>
          <w:noProof/>
          <w:lang w:val="en-US"/>
        </w:rPr>
        <w:t>prior to</w:t>
      </w:r>
      <w:r w:rsidRPr="00A760D5">
        <w:rPr>
          <w:rFonts w:cstheme="minorHAnsi"/>
          <w:noProof/>
          <w:lang w:val="en-US"/>
        </w:rPr>
        <w:t xml:space="preserve"> </w:t>
      </w:r>
      <w:r w:rsidR="00815217">
        <w:rPr>
          <w:rFonts w:cstheme="minorHAnsi"/>
          <w:noProof/>
          <w:lang w:val="en-US"/>
        </w:rPr>
        <w:t>infusion</w:t>
      </w:r>
      <w:r w:rsidRPr="00A760D5">
        <w:rPr>
          <w:rFonts w:cstheme="minorHAnsi"/>
          <w:noProof/>
          <w:lang w:val="en-US"/>
        </w:rPr>
        <w:t>, high BMI</w:t>
      </w:r>
      <w:r w:rsidRPr="000F6694">
        <w:rPr>
          <w:rFonts w:cstheme="minorHAnsi"/>
          <w:noProof/>
          <w:lang w:val="en-US"/>
        </w:rPr>
        <w:t xml:space="preserve">, preoperative diabetic foot ulcer, healing, use of preoperative varfarin or rivaroxaban, </w:t>
      </w:r>
      <w:r w:rsidR="00F4023D" w:rsidRPr="000F6694">
        <w:rPr>
          <w:rFonts w:cstheme="minorHAnsi"/>
          <w:noProof/>
          <w:lang w:val="en-US"/>
        </w:rPr>
        <w:t>iron deficiency anemia</w:t>
      </w:r>
      <w:r w:rsidRPr="000F6694">
        <w:rPr>
          <w:rFonts w:cstheme="minorHAnsi"/>
          <w:noProof/>
          <w:lang w:val="en-US"/>
        </w:rPr>
        <w:t xml:space="preserve"> and perioperative electrolyt</w:t>
      </w:r>
      <w:r w:rsidR="00F4023D" w:rsidRPr="000F6694">
        <w:rPr>
          <w:rFonts w:cstheme="minorHAnsi"/>
          <w:noProof/>
          <w:lang w:val="en-US"/>
        </w:rPr>
        <w:t>e</w:t>
      </w:r>
      <w:r w:rsidRPr="000F6694">
        <w:rPr>
          <w:rFonts w:cstheme="minorHAnsi"/>
          <w:noProof/>
          <w:lang w:val="en-US"/>
        </w:rPr>
        <w:t xml:space="preserve"> </w:t>
      </w:r>
      <w:r w:rsidR="00F4023D" w:rsidRPr="000F6694">
        <w:rPr>
          <w:rFonts w:cstheme="minorHAnsi"/>
          <w:noProof/>
          <w:lang w:val="en-US"/>
        </w:rPr>
        <w:t>imbalance</w:t>
      </w:r>
      <w:r w:rsidRPr="00A760D5">
        <w:rPr>
          <w:rFonts w:cstheme="minorHAnsi"/>
          <w:noProof/>
          <w:lang w:val="en-US"/>
        </w:rPr>
        <w:t xml:space="preserve"> and use of cyanoacrylate cutaneous glue at the closing of the operative wound.</w:t>
      </w:r>
    </w:p>
    <w:p w14:paraId="7F59D1DB" w14:textId="3FE5AF6B" w:rsidR="00A760D5" w:rsidRPr="00A760D5" w:rsidRDefault="00A760D5" w:rsidP="004E5C36">
      <w:pPr>
        <w:spacing w:after="0" w:line="360" w:lineRule="auto"/>
        <w:ind w:left="-170" w:right="-170"/>
        <w:jc w:val="both"/>
        <w:rPr>
          <w:rFonts w:cstheme="minorHAnsi"/>
          <w:noProof/>
          <w:lang w:val="en-US"/>
        </w:rPr>
      </w:pPr>
      <w:r w:rsidRPr="00A760D5">
        <w:rPr>
          <w:rFonts w:cstheme="minorHAnsi"/>
          <w:noProof/>
          <w:lang w:val="en-US"/>
        </w:rPr>
        <w:t xml:space="preserve">In the non-modifiable </w:t>
      </w:r>
      <w:r w:rsidR="00F4023D">
        <w:rPr>
          <w:rFonts w:cstheme="minorHAnsi"/>
          <w:noProof/>
          <w:lang w:val="en-US"/>
        </w:rPr>
        <w:t>SSIs</w:t>
      </w:r>
      <w:r w:rsidRPr="00A760D5">
        <w:rPr>
          <w:rFonts w:cstheme="minorHAnsi"/>
          <w:noProof/>
          <w:lang w:val="en-US"/>
        </w:rPr>
        <w:t xml:space="preserve"> risk factors (Table 2), it was found that the male gender is highlighted in several studies, since it is associated with the occurrence of </w:t>
      </w:r>
      <w:r w:rsidRPr="00A760D5">
        <w:rPr>
          <w:rFonts w:cstheme="minorHAnsi"/>
          <w:noProof/>
          <w:lang w:val="en-US"/>
        </w:rPr>
        <w:t>road accidents and heavy work more frequently, with joint wear and consequent need for surgical intervention (Silva et al., 2021).</w:t>
      </w:r>
    </w:p>
    <w:p w14:paraId="0CB0585D" w14:textId="3B530682" w:rsidR="00A760D5" w:rsidRPr="002445D1" w:rsidRDefault="00A760D5" w:rsidP="004E5C36">
      <w:pPr>
        <w:spacing w:after="0" w:line="360" w:lineRule="auto"/>
        <w:ind w:left="-170" w:right="-170"/>
        <w:jc w:val="both"/>
        <w:rPr>
          <w:rFonts w:cstheme="minorHAnsi"/>
          <w:noProof/>
          <w:lang w:val="en-US"/>
        </w:rPr>
      </w:pPr>
      <w:r w:rsidRPr="00A760D5">
        <w:rPr>
          <w:rFonts w:cstheme="minorHAnsi"/>
          <w:noProof/>
          <w:lang w:val="en-US"/>
        </w:rPr>
        <w:t xml:space="preserve">Advanced age, greater or equal </w:t>
      </w:r>
      <w:r w:rsidR="005D3700" w:rsidRPr="00A760D5">
        <w:rPr>
          <w:rFonts w:cstheme="minorHAnsi"/>
          <w:noProof/>
          <w:lang w:val="en-US"/>
        </w:rPr>
        <w:t xml:space="preserve">than </w:t>
      </w:r>
      <w:r w:rsidRPr="00A760D5">
        <w:rPr>
          <w:rFonts w:cstheme="minorHAnsi"/>
          <w:noProof/>
          <w:lang w:val="en-US"/>
        </w:rPr>
        <w:t>80 years, is also identified as a risk factor, due to its vulnerability to infections, as Tavares et al. (2022) states, there is a decrease in immunity, as well as a</w:t>
      </w:r>
      <w:r w:rsidR="005D3700">
        <w:rPr>
          <w:rFonts w:cstheme="minorHAnsi"/>
          <w:noProof/>
          <w:lang w:val="en-US"/>
        </w:rPr>
        <w:t>n</w:t>
      </w:r>
      <w:r w:rsidRPr="00A760D5">
        <w:rPr>
          <w:rFonts w:cstheme="minorHAnsi"/>
          <w:noProof/>
          <w:lang w:val="en-US"/>
        </w:rPr>
        <w:t xml:space="preserve"> increase in the healing period, contributing to the increased risk. However, the literature suggests that the presence of a greater number of comorbidities appears to be more relevant than</w:t>
      </w:r>
      <w:r w:rsidR="005D3700">
        <w:rPr>
          <w:rFonts w:cstheme="minorHAnsi"/>
          <w:noProof/>
          <w:lang w:val="en-US"/>
        </w:rPr>
        <w:t xml:space="preserve"> the</w:t>
      </w:r>
      <w:r w:rsidRPr="00A760D5">
        <w:rPr>
          <w:rFonts w:cstheme="minorHAnsi"/>
          <w:noProof/>
          <w:lang w:val="en-US"/>
        </w:rPr>
        <w:t xml:space="preserve"> age alone (Sousa et al, 2021). Another author corroborates his study, stating that elderly people have a higher risk of SSI, not only due to adjacent comorbidities, but due to limitations in maintaining normothermia, hydroelectrolytic balance, vascularization and lung capacity or function (Martins &amp; Fernandes, 2019). Kaye et al. (2005), attributes it to a “resistant survivor” effect, that is, the tendency for people who survive to a more advanced age to have a genetic </w:t>
      </w:r>
      <w:r w:rsidR="00E615A3">
        <w:rPr>
          <w:rFonts w:cstheme="minorHAnsi"/>
          <w:noProof/>
          <w:lang w:val="en-US"/>
        </w:rPr>
        <w:t>composition</w:t>
      </w:r>
      <w:r w:rsidRPr="00A760D5">
        <w:rPr>
          <w:rFonts w:cstheme="minorHAnsi"/>
          <w:noProof/>
          <w:lang w:val="en-US"/>
        </w:rPr>
        <w:t xml:space="preserve"> that allows them greater resistance to health threats compared to the general population. </w:t>
      </w:r>
      <w:r w:rsidRPr="002445D1">
        <w:rPr>
          <w:rFonts w:cstheme="minorHAnsi"/>
          <w:noProof/>
          <w:lang w:val="en-US"/>
        </w:rPr>
        <w:t xml:space="preserve">The age of 50-55 years was also cited as a non-modifiable risk factor for </w:t>
      </w:r>
      <w:r w:rsidR="00F4023D">
        <w:rPr>
          <w:rFonts w:cstheme="minorHAnsi"/>
          <w:noProof/>
          <w:lang w:val="en-US"/>
        </w:rPr>
        <w:t>SSI</w:t>
      </w:r>
      <w:r w:rsidRPr="002445D1">
        <w:rPr>
          <w:rFonts w:cstheme="minorHAnsi"/>
          <w:noProof/>
          <w:lang w:val="en-US"/>
        </w:rPr>
        <w:t>, not exactly due to age, but due to increased BMI and bone wear.</w:t>
      </w:r>
    </w:p>
    <w:p w14:paraId="6E166F37" w14:textId="12491AE2" w:rsidR="00950B77" w:rsidRPr="00950B77" w:rsidRDefault="00950B77" w:rsidP="004E5C36">
      <w:pPr>
        <w:spacing w:after="0" w:line="360" w:lineRule="auto"/>
        <w:ind w:left="-170" w:right="-170"/>
        <w:jc w:val="both"/>
        <w:rPr>
          <w:rFonts w:cstheme="minorHAnsi"/>
          <w:lang w:val="en-US"/>
        </w:rPr>
      </w:pPr>
      <w:r w:rsidRPr="00950B77">
        <w:rPr>
          <w:rFonts w:cstheme="minorHAnsi"/>
          <w:lang w:val="en-US"/>
        </w:rPr>
        <w:t xml:space="preserve">The most cited comorbidities were Rheumatoid Arthritis, Renal Failure and Depression, Musculoskeletal Dysplasia, Congestive Heart Failure and Coagulopathy, Liver Disease, Diabetes Mellitus, Arterial Hypertension and Peripheral Venous Disease, causing concern throughout the perioperative period, </w:t>
      </w:r>
      <w:proofErr w:type="gramStart"/>
      <w:r w:rsidRPr="00950B77">
        <w:rPr>
          <w:rFonts w:cstheme="minorHAnsi"/>
          <w:lang w:val="en-US"/>
        </w:rPr>
        <w:t>with the exception of</w:t>
      </w:r>
      <w:proofErr w:type="gramEnd"/>
      <w:r w:rsidRPr="00950B77">
        <w:rPr>
          <w:rFonts w:cstheme="minorHAnsi"/>
          <w:lang w:val="en-US"/>
        </w:rPr>
        <w:t xml:space="preserve"> peripheral venous disease, which will require greater surveillance in the postoperative period. A Charlson Comorbidity Index score of at least 3 increased the risk of </w:t>
      </w:r>
      <w:r w:rsidR="00F4023D">
        <w:rPr>
          <w:rFonts w:cstheme="minorHAnsi"/>
          <w:lang w:val="en-US"/>
        </w:rPr>
        <w:t>SSI</w:t>
      </w:r>
      <w:r w:rsidRPr="00950B77">
        <w:rPr>
          <w:rFonts w:cstheme="minorHAnsi"/>
          <w:lang w:val="en-US"/>
        </w:rPr>
        <w:t xml:space="preserve">. The presence of these factors in TKA as being associated with the risk of SSI </w:t>
      </w:r>
      <w:r w:rsidRPr="00950B77">
        <w:rPr>
          <w:rFonts w:cstheme="minorHAnsi"/>
          <w:lang w:val="en-US"/>
        </w:rPr>
        <w:lastRenderedPageBreak/>
        <w:t>are strongly cited in other studies such as that by Yang et al. (2020). The development of infections is due to changes in vascularization, sensitivity and glycemic control, impacting the inhibition of the healing process and the consequent immune function (</w:t>
      </w:r>
      <w:proofErr w:type="spellStart"/>
      <w:r w:rsidRPr="00950B77">
        <w:rPr>
          <w:rFonts w:cstheme="minorHAnsi"/>
          <w:lang w:val="en-US"/>
        </w:rPr>
        <w:t>Helito</w:t>
      </w:r>
      <w:proofErr w:type="spellEnd"/>
      <w:r w:rsidRPr="00950B77">
        <w:rPr>
          <w:rFonts w:cstheme="minorHAnsi"/>
          <w:lang w:val="en-US"/>
        </w:rPr>
        <w:t xml:space="preserve"> et al., 2020; Júnior et al., 2021; Silva et al., 2021).</w:t>
      </w:r>
    </w:p>
    <w:p w14:paraId="1CCB08B7" w14:textId="3282DE66" w:rsidR="00950B77" w:rsidRPr="002445D1" w:rsidRDefault="00950B77" w:rsidP="004E5C36">
      <w:pPr>
        <w:spacing w:after="0" w:line="360" w:lineRule="auto"/>
        <w:ind w:left="-170" w:right="-170"/>
        <w:jc w:val="both"/>
        <w:rPr>
          <w:rFonts w:cstheme="minorHAnsi"/>
          <w:lang w:val="en-US"/>
        </w:rPr>
      </w:pPr>
      <w:r w:rsidRPr="00950B77">
        <w:rPr>
          <w:rFonts w:cstheme="minorHAnsi"/>
          <w:lang w:val="en-US"/>
        </w:rPr>
        <w:t xml:space="preserve">Congestive Heart Failure and Coagulopathy were referenced in only one study, representing, in addition to the risk of </w:t>
      </w:r>
      <w:r w:rsidR="00F4023D">
        <w:rPr>
          <w:rFonts w:cstheme="minorHAnsi"/>
          <w:lang w:val="en-US"/>
        </w:rPr>
        <w:t>SSI</w:t>
      </w:r>
      <w:r w:rsidRPr="00950B77">
        <w:rPr>
          <w:rFonts w:cstheme="minorHAnsi"/>
          <w:lang w:val="en-US"/>
        </w:rPr>
        <w:t xml:space="preserve">, an increased risk of mortality. They are also associated with a risk of Postoperative Hemorrhage and Infection, and this evidence is supported by several other authors. </w:t>
      </w:r>
      <w:r w:rsidRPr="002445D1">
        <w:rPr>
          <w:rFonts w:cstheme="minorHAnsi"/>
          <w:lang w:val="en-US"/>
        </w:rPr>
        <w:t>(</w:t>
      </w:r>
      <w:proofErr w:type="spellStart"/>
      <w:r w:rsidRPr="002445D1">
        <w:rPr>
          <w:rFonts w:cstheme="minorHAnsi"/>
          <w:lang w:val="en-US"/>
        </w:rPr>
        <w:t>Bachoura</w:t>
      </w:r>
      <w:proofErr w:type="spellEnd"/>
      <w:r w:rsidRPr="002445D1">
        <w:rPr>
          <w:rFonts w:cstheme="minorHAnsi"/>
          <w:lang w:val="en-US"/>
        </w:rPr>
        <w:t xml:space="preserve"> et al., 2011; Bozic et al., 2012; Fernandes, 2022).</w:t>
      </w:r>
    </w:p>
    <w:p w14:paraId="444E1D53" w14:textId="77777777" w:rsidR="00950B77" w:rsidRPr="00950B77" w:rsidRDefault="00950B77" w:rsidP="004E5C36">
      <w:pPr>
        <w:spacing w:after="0" w:line="360" w:lineRule="auto"/>
        <w:ind w:left="-170" w:right="-170"/>
        <w:jc w:val="both"/>
        <w:rPr>
          <w:rFonts w:cstheme="minorHAnsi"/>
          <w:lang w:val="en-US"/>
        </w:rPr>
      </w:pPr>
      <w:r w:rsidRPr="00950B77">
        <w:rPr>
          <w:rFonts w:cstheme="minorHAnsi"/>
          <w:lang w:val="en-US"/>
        </w:rPr>
        <w:t>Liver disease is also a non-modifiable risk factor, as the presence of hepatitis, markers of active hepatitis, thrombocytopenia and liver fibrosis is associated with an increased rate of infection. Nunes (2014) states that the liver ensures hemostasis, as it is where the synthesis of coagulation factors, anticoagulant proteins and proteins related to fibrinolysis occurs and is responsible for drug metabolism. This pathology increases the risk of bleeding, interfering with the healing process. According to this article, the preoperative laboratory study assumes a point of interest in the person who will undergo TKA.</w:t>
      </w:r>
    </w:p>
    <w:p w14:paraId="03C7D8B1" w14:textId="046E8AE7" w:rsidR="00950B77" w:rsidRPr="00950B77" w:rsidRDefault="00950B77" w:rsidP="004E5C36">
      <w:pPr>
        <w:spacing w:after="0" w:line="360" w:lineRule="auto"/>
        <w:ind w:left="-170" w:right="-170"/>
        <w:jc w:val="both"/>
        <w:rPr>
          <w:rFonts w:cstheme="minorHAnsi"/>
          <w:lang w:val="en-US"/>
        </w:rPr>
      </w:pPr>
      <w:r w:rsidRPr="00950B77">
        <w:rPr>
          <w:rFonts w:cstheme="minorHAnsi"/>
          <w:lang w:val="en-US"/>
        </w:rPr>
        <w:t xml:space="preserve">The American Society of Anesthesiology (ASA) system </w:t>
      </w:r>
      <w:r w:rsidR="00E615A3">
        <w:rPr>
          <w:rFonts w:cstheme="minorHAnsi"/>
          <w:lang w:val="en-US"/>
        </w:rPr>
        <w:t>upper</w:t>
      </w:r>
      <w:r w:rsidRPr="00950B77">
        <w:rPr>
          <w:rFonts w:cstheme="minorHAnsi"/>
          <w:lang w:val="en-US"/>
        </w:rPr>
        <w:t xml:space="preserve"> to II was also identified, however for other authors, such as Resende et al. (2018), this assessment of surgical risk and the patient's physical condition should only be considered relevant from ASA ≥3, since this index is directly related to the presence of comorbidities, evidenced mainly in the elderly (Yang et al., 2020). Once again, evidence shows that investing in strategies that promote the management of chronic </w:t>
      </w:r>
      <w:r w:rsidRPr="00950B77">
        <w:rPr>
          <w:rFonts w:cstheme="minorHAnsi"/>
          <w:lang w:val="en-US"/>
        </w:rPr>
        <w:t>diseases is a priority, as a way of preventing future SSIs (Carvalho et al., 2017).</w:t>
      </w:r>
    </w:p>
    <w:p w14:paraId="24D0A21E" w14:textId="77777777" w:rsidR="00950B77" w:rsidRPr="00950B77" w:rsidRDefault="00950B77" w:rsidP="004E5C36">
      <w:pPr>
        <w:spacing w:after="0" w:line="360" w:lineRule="auto"/>
        <w:ind w:left="-170" w:right="-170"/>
        <w:jc w:val="both"/>
        <w:rPr>
          <w:rFonts w:cstheme="minorHAnsi"/>
          <w:lang w:val="en-US"/>
        </w:rPr>
      </w:pPr>
      <w:r w:rsidRPr="00950B77">
        <w:rPr>
          <w:rFonts w:cstheme="minorHAnsi"/>
          <w:lang w:val="en-US"/>
        </w:rPr>
        <w:t>Seasonality is also considered a risk factor for SSI, as it was found that the risk of infection was higher in surgeries performed in summer compared to those in winter. This fact is explained due to the colonization of the epidermis, as climatic patterns are responsible for the increase in bacterial proliferation in certain anatomical regions (Anthony et al., 2017).</w:t>
      </w:r>
    </w:p>
    <w:p w14:paraId="72E82BFE" w14:textId="364A10CC" w:rsidR="00950B77" w:rsidRPr="00950B77" w:rsidRDefault="00950B77" w:rsidP="004E5C36">
      <w:pPr>
        <w:spacing w:after="0" w:line="360" w:lineRule="auto"/>
        <w:ind w:left="-170" w:right="-170"/>
        <w:jc w:val="both"/>
        <w:rPr>
          <w:rFonts w:cstheme="minorHAnsi"/>
          <w:lang w:val="en-US"/>
        </w:rPr>
      </w:pPr>
      <w:r w:rsidRPr="00950B77">
        <w:rPr>
          <w:rFonts w:cstheme="minorHAnsi"/>
          <w:lang w:val="en-US"/>
        </w:rPr>
        <w:t xml:space="preserve">Another non-modifiable risk factor for </w:t>
      </w:r>
      <w:r w:rsidR="00F4023D">
        <w:rPr>
          <w:rFonts w:cstheme="minorHAnsi"/>
          <w:lang w:val="en-US"/>
        </w:rPr>
        <w:t>SSI</w:t>
      </w:r>
      <w:r w:rsidRPr="00950B77">
        <w:rPr>
          <w:rFonts w:cstheme="minorHAnsi"/>
          <w:lang w:val="en-US"/>
        </w:rPr>
        <w:t xml:space="preserve"> identified was </w:t>
      </w:r>
      <w:proofErr w:type="spellStart"/>
      <w:r w:rsidRPr="00950B77">
        <w:rPr>
          <w:rFonts w:cstheme="minorHAnsi"/>
          <w:lang w:val="en-US"/>
        </w:rPr>
        <w:t>Ahlbäck's</w:t>
      </w:r>
      <w:proofErr w:type="spellEnd"/>
      <w:r w:rsidRPr="00950B77">
        <w:rPr>
          <w:rFonts w:cstheme="minorHAnsi"/>
          <w:lang w:val="en-US"/>
        </w:rPr>
        <w:t xml:space="preserve"> disease, in only one study. Its diagnosis is difficult, consisting of an alteration in revascularization that can cause a delay in tissue healing (Jadhav et al., 2023).</w:t>
      </w:r>
    </w:p>
    <w:p w14:paraId="3E8065A8" w14:textId="37494202" w:rsidR="00950B77" w:rsidRPr="000F6694" w:rsidRDefault="00950B77" w:rsidP="004E5C36">
      <w:pPr>
        <w:spacing w:after="0" w:line="360" w:lineRule="auto"/>
        <w:ind w:left="-170" w:right="-170"/>
        <w:jc w:val="both"/>
        <w:rPr>
          <w:rFonts w:cstheme="minorHAnsi"/>
          <w:lang w:val="en-US"/>
        </w:rPr>
      </w:pPr>
      <w:r w:rsidRPr="00950B77">
        <w:rPr>
          <w:rFonts w:cstheme="minorHAnsi"/>
          <w:lang w:val="en-US"/>
        </w:rPr>
        <w:t xml:space="preserve">Regarding the factor of Renal Failure in Hemodialysis, it was demonstrated that the technique to be used must be considered, since patients on Hemodialysis have a greater risk of bacteremia and hematogenous dissemination, due to the type of vascular access, compared to those on Peritoneal Dialysis. In the literature, authors such as Bozic et al. (2012) recognize Renal Insufficiency as a risk factor for </w:t>
      </w:r>
      <w:r w:rsidR="00F4023D">
        <w:rPr>
          <w:rFonts w:cstheme="minorHAnsi"/>
          <w:lang w:val="en-US"/>
        </w:rPr>
        <w:t>SSI</w:t>
      </w:r>
      <w:r w:rsidRPr="00950B77">
        <w:rPr>
          <w:rFonts w:cstheme="minorHAnsi"/>
          <w:lang w:val="en-US"/>
        </w:rPr>
        <w:t xml:space="preserve">, however the distinction of the technique used is not </w:t>
      </w:r>
      <w:r w:rsidRPr="000F6694">
        <w:rPr>
          <w:rFonts w:cstheme="minorHAnsi"/>
          <w:lang w:val="en-US"/>
        </w:rPr>
        <w:t>addressed.</w:t>
      </w:r>
    </w:p>
    <w:p w14:paraId="5E97894C" w14:textId="2190CB7C" w:rsidR="00950B77" w:rsidRPr="000F6694" w:rsidRDefault="00950B77" w:rsidP="004E5C36">
      <w:pPr>
        <w:spacing w:after="0" w:line="360" w:lineRule="auto"/>
        <w:ind w:left="-170" w:right="-170"/>
        <w:jc w:val="both"/>
        <w:rPr>
          <w:rFonts w:cstheme="minorHAnsi"/>
          <w:lang w:val="en-US"/>
        </w:rPr>
      </w:pPr>
      <w:r w:rsidRPr="000F6694">
        <w:rPr>
          <w:rFonts w:cstheme="minorHAnsi"/>
          <w:lang w:val="en-US"/>
        </w:rPr>
        <w:t xml:space="preserve">Although the association of the Diabetes Mellitus risk factor is admitted, studies do not present an explanation, still recognizing its impact on the healing of the surgical site. Although these authors consider it a non-modifiable risk factor, since the patient will not cease to be diabetic, the Clinical Standard: 020/2015 of December 15 "Bundle of Interventions" for the Prevention of Surgical Site Infection, updated on November 17, </w:t>
      </w:r>
      <w:proofErr w:type="gramStart"/>
      <w:r w:rsidRPr="000F6694">
        <w:rPr>
          <w:rFonts w:cstheme="minorHAnsi"/>
          <w:lang w:val="en-US"/>
        </w:rPr>
        <w:t>2022</w:t>
      </w:r>
      <w:proofErr w:type="gramEnd"/>
      <w:r w:rsidRPr="000F6694">
        <w:rPr>
          <w:rFonts w:cstheme="minorHAnsi"/>
          <w:lang w:val="en-US"/>
        </w:rPr>
        <w:t xml:space="preserve"> by the DGS (2022b), considers it a modifiable risk factor, since it is possible to intervene by maintaining blood glucose levels. Silva et al. (2021), states that Diabetes Mellitus is associated with </w:t>
      </w:r>
      <w:r w:rsidRPr="000F6694">
        <w:rPr>
          <w:rFonts w:cstheme="minorHAnsi"/>
          <w:lang w:val="en-US"/>
        </w:rPr>
        <w:lastRenderedPageBreak/>
        <w:t xml:space="preserve">increased pain and local edema, tripling this risk, especially in orthopedic surgeries. Ji et al. (2019) and Yang et al. (2020) report that both Diabetes Mellitus and High Blood Pressure (HBP) are related to the risk of </w:t>
      </w:r>
      <w:r w:rsidR="00F4023D" w:rsidRPr="000F6694">
        <w:rPr>
          <w:rFonts w:cstheme="minorHAnsi"/>
          <w:lang w:val="en-US"/>
        </w:rPr>
        <w:t>SSI</w:t>
      </w:r>
      <w:r w:rsidRPr="000F6694">
        <w:rPr>
          <w:rFonts w:cstheme="minorHAnsi"/>
          <w:lang w:val="en-US"/>
        </w:rPr>
        <w:t xml:space="preserve"> due to changes in the vascularization process, sensitivity and glycemic imbalance that inhibit the healing process, impairing immune function, giving rise to infections (Júnior et al., 2021).</w:t>
      </w:r>
    </w:p>
    <w:p w14:paraId="14F24BC8" w14:textId="77777777" w:rsidR="00950B77" w:rsidRPr="000F6694" w:rsidRDefault="00950B77" w:rsidP="004E5C36">
      <w:pPr>
        <w:spacing w:after="0" w:line="360" w:lineRule="auto"/>
        <w:ind w:left="-170" w:right="-170"/>
        <w:jc w:val="both"/>
        <w:rPr>
          <w:rFonts w:cstheme="minorHAnsi"/>
          <w:lang w:val="en-US"/>
        </w:rPr>
      </w:pPr>
      <w:r w:rsidRPr="000F6694">
        <w:rPr>
          <w:rFonts w:cstheme="minorHAnsi"/>
          <w:lang w:val="en-US"/>
        </w:rPr>
        <w:t>Fernandes (2022), contrary to the present study, considers that the comorbidities mentioned have no statistical significance, since patients are previously monitored through regular consultations, keeping these pathologies under control, minimizing possible future complications. To increase surgical safety, the need for rigorous monitoring of patients with these clinical histories should be reinforced (Silva et al., 2021).</w:t>
      </w:r>
    </w:p>
    <w:p w14:paraId="496D251E" w14:textId="1D06DAEA" w:rsidR="00950B77" w:rsidRPr="000F6694" w:rsidRDefault="00950B77" w:rsidP="004E5C36">
      <w:pPr>
        <w:spacing w:after="0" w:line="360" w:lineRule="auto"/>
        <w:ind w:left="-170" w:right="-170"/>
        <w:jc w:val="both"/>
        <w:rPr>
          <w:rFonts w:cstheme="minorHAnsi"/>
          <w:noProof/>
          <w:lang w:val="en-US"/>
        </w:rPr>
      </w:pPr>
      <w:r w:rsidRPr="000F6694">
        <w:rPr>
          <w:rFonts w:cstheme="minorHAnsi"/>
          <w:noProof/>
          <w:lang w:val="en-US"/>
        </w:rPr>
        <w:t xml:space="preserve">Complications arising from Rheumatoid Arthritis have also been identified as associated with </w:t>
      </w:r>
      <w:r w:rsidR="00F4023D" w:rsidRPr="000F6694">
        <w:rPr>
          <w:rFonts w:cstheme="minorHAnsi"/>
          <w:noProof/>
          <w:lang w:val="en-US"/>
        </w:rPr>
        <w:t>SSI</w:t>
      </w:r>
      <w:r w:rsidRPr="000F6694">
        <w:rPr>
          <w:rFonts w:cstheme="minorHAnsi"/>
          <w:noProof/>
          <w:lang w:val="en-US"/>
        </w:rPr>
        <w:t>, due to Immunosuppression, Corticosteroid Therapy and Deficien</w:t>
      </w:r>
      <w:r w:rsidR="006B54CA" w:rsidRPr="000F6694">
        <w:rPr>
          <w:rFonts w:cstheme="minorHAnsi"/>
          <w:noProof/>
          <w:lang w:val="en-US"/>
        </w:rPr>
        <w:t>c</w:t>
      </w:r>
      <w:r w:rsidR="003457EE" w:rsidRPr="000F6694">
        <w:rPr>
          <w:rFonts w:cstheme="minorHAnsi"/>
          <w:noProof/>
          <w:lang w:val="en-US"/>
        </w:rPr>
        <w:t>y</w:t>
      </w:r>
      <w:r w:rsidRPr="000F6694">
        <w:rPr>
          <w:rFonts w:cstheme="minorHAnsi"/>
          <w:noProof/>
          <w:lang w:val="en-US"/>
        </w:rPr>
        <w:t xml:space="preserve"> Nutrition. These are also considered risk factors and, when interconnected, may be the basis for the appearance of </w:t>
      </w:r>
      <w:r w:rsidR="00E615A3" w:rsidRPr="000F6694">
        <w:rPr>
          <w:rFonts w:cstheme="minorHAnsi"/>
          <w:noProof/>
          <w:lang w:val="en-US"/>
        </w:rPr>
        <w:t>HBP</w:t>
      </w:r>
      <w:r w:rsidRPr="000F6694">
        <w:rPr>
          <w:rFonts w:cstheme="minorHAnsi"/>
          <w:noProof/>
          <w:lang w:val="en-US"/>
        </w:rPr>
        <w:t xml:space="preserve"> and Diabetes Mellitus. This evidence is also supported by Ji et al. (2019), considering them as associated risk factors.</w:t>
      </w:r>
    </w:p>
    <w:p w14:paraId="7B35BDD2" w14:textId="30E53BED" w:rsidR="00950B77" w:rsidRPr="000F6694" w:rsidRDefault="00950B77" w:rsidP="004E5C36">
      <w:pPr>
        <w:spacing w:after="0" w:line="360" w:lineRule="auto"/>
        <w:ind w:left="-170" w:right="-170"/>
        <w:jc w:val="both"/>
        <w:rPr>
          <w:rFonts w:cstheme="minorHAnsi"/>
          <w:noProof/>
          <w:lang w:val="en-US"/>
        </w:rPr>
      </w:pPr>
      <w:r w:rsidRPr="000F6694">
        <w:rPr>
          <w:rFonts w:cstheme="minorHAnsi"/>
          <w:noProof/>
          <w:lang w:val="en-US"/>
        </w:rPr>
        <w:t>High levels of preoperative pain and low pain thresholds are related to Core Awareness and pre and postoperative pain intensity, with an impact on wound healing speed (Kong et al., 2016; Latremoliere &amp; Woolf, 2009). It is recommended to make these patients aware of the increased risk of SSI, as well as the need to optimize intraoperative soft tissue and postoperative wound management.</w:t>
      </w:r>
    </w:p>
    <w:p w14:paraId="57C01DE5" w14:textId="77777777" w:rsidR="00950B77" w:rsidRPr="000F6694" w:rsidRDefault="00950B77" w:rsidP="004E5C36">
      <w:pPr>
        <w:spacing w:after="0" w:line="360" w:lineRule="auto"/>
        <w:ind w:left="-170" w:right="-170"/>
        <w:jc w:val="both"/>
        <w:rPr>
          <w:rFonts w:cstheme="minorHAnsi"/>
          <w:noProof/>
          <w:lang w:val="en-US"/>
        </w:rPr>
      </w:pPr>
      <w:r w:rsidRPr="000F6694">
        <w:rPr>
          <w:rFonts w:cstheme="minorHAnsi"/>
          <w:noProof/>
          <w:lang w:val="en-US"/>
        </w:rPr>
        <w:t xml:space="preserve">At an analytical level, Serum Neutrophilia appears as a non-modifiable risk factor, as it is associated with acute </w:t>
      </w:r>
      <w:r w:rsidRPr="000F6694">
        <w:rPr>
          <w:rFonts w:cstheme="minorHAnsi"/>
          <w:noProof/>
          <w:lang w:val="en-US"/>
        </w:rPr>
        <w:t>inflammation. This marker may subclinically indicate the presence of infection, but it may also be elevated in other pathologies, such as Rheumatoid Arthritis, making it non-specific. Despite the recognized importance of serum markers in the diagnosis of infection, there is little literature on their preoperative relevance in SSI.</w:t>
      </w:r>
    </w:p>
    <w:p w14:paraId="0047B6BB" w14:textId="334D66D6" w:rsidR="00950B77" w:rsidRPr="000F6694" w:rsidRDefault="00950B77" w:rsidP="004E5C36">
      <w:pPr>
        <w:spacing w:after="0" w:line="360" w:lineRule="auto"/>
        <w:ind w:left="-170" w:right="-170"/>
        <w:jc w:val="both"/>
        <w:rPr>
          <w:rFonts w:cstheme="minorHAnsi"/>
          <w:noProof/>
          <w:lang w:val="en-US"/>
        </w:rPr>
      </w:pPr>
      <w:r w:rsidRPr="000F6694">
        <w:rPr>
          <w:rFonts w:cstheme="minorHAnsi"/>
          <w:noProof/>
          <w:lang w:val="en-US"/>
        </w:rPr>
        <w:t xml:space="preserve">Countries with lower socioeconomic levels are risk factors, due to lack of resources, ineffective ventilation in operating rooms and </w:t>
      </w:r>
      <w:r w:rsidR="003457EE" w:rsidRPr="000F6694">
        <w:rPr>
          <w:rFonts w:cstheme="minorHAnsi"/>
          <w:noProof/>
          <w:lang w:val="en-US"/>
        </w:rPr>
        <w:t>disabled</w:t>
      </w:r>
      <w:r w:rsidRPr="000F6694">
        <w:rPr>
          <w:rFonts w:cstheme="minorHAnsi"/>
          <w:noProof/>
          <w:lang w:val="en-US"/>
        </w:rPr>
        <w:t xml:space="preserve"> or non-compliance with infection prevention and control measures (Badge et al., 2021; Surial et al., 2022).</w:t>
      </w:r>
    </w:p>
    <w:p w14:paraId="5A39E3EC" w14:textId="5A582135" w:rsidR="00950B77" w:rsidRPr="000F6694" w:rsidRDefault="00950B77" w:rsidP="004E5C36">
      <w:pPr>
        <w:spacing w:after="0" w:line="360" w:lineRule="auto"/>
        <w:ind w:left="-170" w:right="-170"/>
        <w:jc w:val="both"/>
        <w:rPr>
          <w:rFonts w:cstheme="minorHAnsi"/>
          <w:noProof/>
          <w:lang w:val="en-US"/>
        </w:rPr>
      </w:pPr>
      <w:r w:rsidRPr="000F6694">
        <w:rPr>
          <w:rFonts w:cstheme="minorHAnsi"/>
          <w:noProof/>
          <w:lang w:val="en-US"/>
        </w:rPr>
        <w:t xml:space="preserve">Regarding modifiable risk factors (Table 3) Prolonged Surgery Duration is highlighted. Although there is consensus on this topic within the studies, some establish the lower limit from which it becomes potentially problematic regarding the duration of the surgery. It was found that one of the studies refers to a duration greater than 90 minutes as a risk factor, while another considers it greater than 120 minutes and yet another refers to a duration greater than 180 minutes. The longer this time, the greater the exposure of the surgical site to the environment, increasing the risk of infection (Carvalho et al., 2017; Oliveira et al., 2023). Ensuring that surgeries are performed in the shortest possible time is a key point in </w:t>
      </w:r>
      <w:r w:rsidR="003457EE" w:rsidRPr="000F6694">
        <w:rPr>
          <w:rFonts w:cstheme="minorHAnsi"/>
          <w:noProof/>
          <w:lang w:val="en-US"/>
        </w:rPr>
        <w:t>the</w:t>
      </w:r>
      <w:r w:rsidRPr="000F6694">
        <w:rPr>
          <w:rFonts w:cstheme="minorHAnsi"/>
          <w:noProof/>
          <w:lang w:val="en-US"/>
        </w:rPr>
        <w:t xml:space="preserve"> infections</w:t>
      </w:r>
      <w:r w:rsidR="003457EE" w:rsidRPr="000F6694">
        <w:rPr>
          <w:rFonts w:cstheme="minorHAnsi"/>
          <w:noProof/>
          <w:lang w:val="en-US"/>
        </w:rPr>
        <w:t xml:space="preserve"> fight</w:t>
      </w:r>
      <w:r w:rsidRPr="000F6694">
        <w:rPr>
          <w:rFonts w:cstheme="minorHAnsi"/>
          <w:noProof/>
          <w:lang w:val="en-US"/>
        </w:rPr>
        <w:t xml:space="preserve"> (Fernandes, 2022).</w:t>
      </w:r>
    </w:p>
    <w:p w14:paraId="306757CA" w14:textId="77777777" w:rsidR="00950B77" w:rsidRPr="000F6694" w:rsidRDefault="00950B77" w:rsidP="004E5C36">
      <w:pPr>
        <w:spacing w:after="0" w:line="360" w:lineRule="auto"/>
        <w:ind w:left="-170" w:right="-170"/>
        <w:jc w:val="both"/>
        <w:rPr>
          <w:rFonts w:cstheme="minorHAnsi"/>
          <w:noProof/>
          <w:lang w:val="en-US"/>
        </w:rPr>
      </w:pPr>
      <w:r w:rsidRPr="000F6694">
        <w:rPr>
          <w:rFonts w:cstheme="minorHAnsi"/>
          <w:noProof/>
          <w:lang w:val="en-US"/>
        </w:rPr>
        <w:t>The Bilateral and Revision Procedure requires an extension of the surgical time and consequent Hospitalization of more than 35 days, increasing the possibility of hospital bacterial colonization through opportunistic nosocomial infections (Silva et al., 2021).</w:t>
      </w:r>
    </w:p>
    <w:p w14:paraId="3225385E" w14:textId="77777777" w:rsidR="00950B77" w:rsidRPr="000F6694" w:rsidRDefault="00950B77" w:rsidP="004E5C36">
      <w:pPr>
        <w:spacing w:after="0" w:line="360" w:lineRule="auto"/>
        <w:ind w:left="-170" w:right="-170"/>
        <w:jc w:val="both"/>
        <w:rPr>
          <w:rFonts w:cstheme="minorHAnsi"/>
          <w:noProof/>
          <w:lang w:val="en-US"/>
        </w:rPr>
      </w:pPr>
      <w:r w:rsidRPr="000F6694">
        <w:rPr>
          <w:rFonts w:cstheme="minorHAnsi"/>
          <w:noProof/>
          <w:lang w:val="en-US"/>
        </w:rPr>
        <w:t xml:space="preserve">Low quality ventilation in the operating room is a risk factor, as the presence of laminar flow systems is </w:t>
      </w:r>
      <w:r w:rsidRPr="000F6694">
        <w:rPr>
          <w:rFonts w:cstheme="minorHAnsi"/>
          <w:noProof/>
          <w:lang w:val="en-US"/>
        </w:rPr>
        <w:lastRenderedPageBreak/>
        <w:t>considered crucial for reducing air contamination (Knudsen et al., 2021).</w:t>
      </w:r>
    </w:p>
    <w:p w14:paraId="58F04297" w14:textId="7EF7D51F" w:rsidR="00950B77" w:rsidRPr="00950B77" w:rsidRDefault="00950B77" w:rsidP="004E5C36">
      <w:pPr>
        <w:spacing w:after="0" w:line="360" w:lineRule="auto"/>
        <w:ind w:left="-170" w:right="-170"/>
        <w:jc w:val="both"/>
        <w:rPr>
          <w:rFonts w:cstheme="minorHAnsi"/>
          <w:noProof/>
          <w:lang w:val="en-US"/>
        </w:rPr>
      </w:pPr>
      <w:r w:rsidRPr="000F6694">
        <w:rPr>
          <w:rFonts w:cstheme="minorHAnsi"/>
          <w:noProof/>
          <w:lang w:val="en-US"/>
        </w:rPr>
        <w:t xml:space="preserve">Obesity appears in several studies, although there is no consensus on which BMI value is considered a risk factor. While malnutrition is seen as a potential problem, as it is associated with poor wound healing and an increased risk of joint prosthesis infections, the opposite is also a concern. Malnutrition contributes to the imbalance of blood coagulation mechanisms, changes in healing and increased electrolyte imbalances, and on the other hand, obesity </w:t>
      </w:r>
      <w:r w:rsidR="003457EE" w:rsidRPr="000F6694">
        <w:rPr>
          <w:rFonts w:cstheme="minorHAnsi"/>
          <w:noProof/>
          <w:lang w:val="en-US"/>
        </w:rPr>
        <w:t>makes it difficult</w:t>
      </w:r>
      <w:r w:rsidR="003457EE">
        <w:rPr>
          <w:rFonts w:cstheme="minorHAnsi"/>
          <w:noProof/>
          <w:lang w:val="en-US"/>
        </w:rPr>
        <w:t xml:space="preserve"> the</w:t>
      </w:r>
      <w:r w:rsidRPr="00950B77">
        <w:rPr>
          <w:rFonts w:cstheme="minorHAnsi"/>
          <w:noProof/>
          <w:lang w:val="en-US"/>
        </w:rPr>
        <w:t xml:space="preserve"> vascularization and prolongs surgery time, due to the increased thickness of adipose tissue (Fernandes, 2022; Ji et al., 2019; Santos et al., 2018; Yang et al., 2020).</w:t>
      </w:r>
    </w:p>
    <w:p w14:paraId="14378FE5" w14:textId="77777777" w:rsidR="00950B77" w:rsidRPr="00950B77" w:rsidRDefault="00950B77" w:rsidP="004E5C36">
      <w:pPr>
        <w:spacing w:after="0" w:line="360" w:lineRule="auto"/>
        <w:ind w:left="-170" w:right="-170"/>
        <w:jc w:val="both"/>
        <w:rPr>
          <w:rFonts w:cstheme="minorHAnsi"/>
          <w:noProof/>
          <w:lang w:val="en-US"/>
        </w:rPr>
      </w:pPr>
      <w:r w:rsidRPr="00950B77">
        <w:rPr>
          <w:rFonts w:cstheme="minorHAnsi"/>
          <w:noProof/>
          <w:lang w:val="en-US"/>
        </w:rPr>
        <w:t xml:space="preserve">Despite recognizing that increased BMI is associated with increased risk of SSI, there is reference to the fact that there is no difference between patients with increased adipose tissue at the surgical site and those with truncal obesity. This study introduces the term prepatellar fat thickness ratio, which is obtained from preoperative lateral </w:t>
      </w:r>
      <w:r w:rsidRPr="000F6694">
        <w:rPr>
          <w:rFonts w:cstheme="minorHAnsi"/>
          <w:noProof/>
          <w:lang w:val="en-US"/>
        </w:rPr>
        <w:t>knee radiographs,</w:t>
      </w:r>
      <w:r w:rsidRPr="00950B77">
        <w:rPr>
          <w:rFonts w:cstheme="minorHAnsi"/>
          <w:noProof/>
          <w:lang w:val="en-US"/>
        </w:rPr>
        <w:t xml:space="preserve"> allowing precise incision of adipose tissue at the surgical site. This tool is considered promising for preoperative risk assessment in obese patients, but still requires further research in order to be applied to the general population.</w:t>
      </w:r>
    </w:p>
    <w:p w14:paraId="32981364" w14:textId="76CD7CDB" w:rsidR="00950B77" w:rsidRPr="00950B77" w:rsidRDefault="00950B77" w:rsidP="004E5C36">
      <w:pPr>
        <w:spacing w:after="0" w:line="360" w:lineRule="auto"/>
        <w:ind w:left="-170" w:right="-170"/>
        <w:jc w:val="both"/>
        <w:rPr>
          <w:rFonts w:cstheme="minorHAnsi"/>
          <w:noProof/>
          <w:lang w:val="en-US"/>
        </w:rPr>
      </w:pPr>
      <w:r w:rsidRPr="00950B77">
        <w:rPr>
          <w:rFonts w:cstheme="minorHAnsi"/>
          <w:noProof/>
          <w:lang w:val="en-US"/>
        </w:rPr>
        <w:t xml:space="preserve">It is also worth noting that the patient's nutritional status can be analytically assessed through the use of serum markers of visceral proteins, such as albumin, mean corpuscular volume and iron deficiency anemia. These studies reinforce the importance of preoperative assessment of the patient's nutritional status and implementation of appropriate corrective measures to avoid the risk of SSI after TKA. The </w:t>
      </w:r>
      <w:r w:rsidRPr="00950B77">
        <w:rPr>
          <w:rFonts w:cstheme="minorHAnsi"/>
          <w:noProof/>
          <w:lang w:val="en-US"/>
        </w:rPr>
        <w:t xml:space="preserve">decreased albumin value is recognized by another author as being associated with malnutrition and as a potential enhancer of </w:t>
      </w:r>
      <w:r w:rsidR="00F4023D">
        <w:rPr>
          <w:rFonts w:cstheme="minorHAnsi"/>
          <w:noProof/>
          <w:lang w:val="en-US"/>
        </w:rPr>
        <w:t>SSI</w:t>
      </w:r>
      <w:r w:rsidRPr="00950B77">
        <w:rPr>
          <w:rFonts w:cstheme="minorHAnsi"/>
          <w:noProof/>
          <w:lang w:val="en-US"/>
        </w:rPr>
        <w:t xml:space="preserve"> due to the proliferation of fibroblasts and decreased collagen synthesis, also depressing the immune system (Yang et al., 2020).</w:t>
      </w:r>
    </w:p>
    <w:p w14:paraId="1AA7FB19" w14:textId="77777777" w:rsidR="00950B77" w:rsidRPr="002445D1" w:rsidRDefault="00950B77" w:rsidP="004E5C36">
      <w:pPr>
        <w:spacing w:after="0" w:line="360" w:lineRule="auto"/>
        <w:ind w:left="-170" w:right="-170"/>
        <w:jc w:val="both"/>
        <w:rPr>
          <w:rFonts w:cstheme="minorHAnsi"/>
          <w:noProof/>
          <w:lang w:val="en-US"/>
        </w:rPr>
      </w:pPr>
      <w:r w:rsidRPr="00950B77">
        <w:rPr>
          <w:rFonts w:cstheme="minorHAnsi"/>
          <w:noProof/>
          <w:lang w:val="en-US"/>
        </w:rPr>
        <w:t xml:space="preserve">The Mean Corpuscular Volume parameter, when found to be decreased, may be indicative of anemia, such as iron deficiency anemia, with these patients being more likely to require blood transfusion in the postoperative period, with complications arising from its handling and storage, which in itself is understood as an increased risk of SSI, as corroborated by Bakri et al. </w:t>
      </w:r>
      <w:r w:rsidRPr="002445D1">
        <w:rPr>
          <w:rFonts w:cstheme="minorHAnsi"/>
          <w:noProof/>
          <w:lang w:val="en-US"/>
        </w:rPr>
        <w:t>(2021) and by Coutinho et al. (2022).</w:t>
      </w:r>
    </w:p>
    <w:p w14:paraId="153400AC" w14:textId="77777777" w:rsidR="00950B77" w:rsidRPr="00950B77" w:rsidRDefault="00950B77" w:rsidP="004E5C36">
      <w:pPr>
        <w:spacing w:after="0" w:line="360" w:lineRule="auto"/>
        <w:ind w:left="-170" w:right="-170"/>
        <w:jc w:val="both"/>
        <w:rPr>
          <w:rFonts w:cstheme="minorHAnsi"/>
          <w:noProof/>
          <w:lang w:val="en-US"/>
        </w:rPr>
      </w:pPr>
      <w:r w:rsidRPr="00950B77">
        <w:rPr>
          <w:rFonts w:cstheme="minorHAnsi"/>
          <w:noProof/>
          <w:lang w:val="en-US"/>
        </w:rPr>
        <w:t>Regarding surgical wound healing, Diabetic Foot Ulcer was identified as a antecedent, post-operative Healing Disorders and the presence of Peripheral Venous Disease. It is also added that patients who have a history of diabetic foot ulcers have an increased risk of SSI and other additional complications, in addition to having postoperative healing disorders and peripheral venous disease resulting from diabetes mellitus (Pitocco et al., 2019).</w:t>
      </w:r>
    </w:p>
    <w:p w14:paraId="070A71CC" w14:textId="77777777" w:rsidR="00950B77" w:rsidRPr="00950B77" w:rsidRDefault="00950B77" w:rsidP="004E5C36">
      <w:pPr>
        <w:spacing w:after="0" w:line="360" w:lineRule="auto"/>
        <w:ind w:left="-170" w:right="-170"/>
        <w:jc w:val="both"/>
        <w:rPr>
          <w:rFonts w:cstheme="minorHAnsi"/>
          <w:noProof/>
          <w:lang w:val="en-US"/>
        </w:rPr>
      </w:pPr>
      <w:r w:rsidRPr="00950B77">
        <w:rPr>
          <w:rFonts w:cstheme="minorHAnsi"/>
          <w:noProof/>
          <w:lang w:val="en-US"/>
        </w:rPr>
        <w:t xml:space="preserve">The use of opioids for more than 6 months preoperatively is identified as a modifiable risk factor. These studies report that it is common for patients undergoing TKA as a form of pain control to use opioids preoperatively, often in an unsupervised manner, which is associated with an increased possibility of surgical wound dehiscence and SSI and hospital readmission due to hyperalgesia due to nociceptive modulation, increasing the risk of falls and fractures due to cognitive impairment, as well as the risk of infection due to immunosuppression. In a study carried out in 2021, in addition to supporting this evidence, the </w:t>
      </w:r>
      <w:r w:rsidRPr="00950B77">
        <w:rPr>
          <w:rFonts w:cstheme="minorHAnsi"/>
          <w:noProof/>
          <w:lang w:val="en-US"/>
        </w:rPr>
        <w:lastRenderedPageBreak/>
        <w:t>authors also addressed the topic of drug interactions (Silva et al., 2021).</w:t>
      </w:r>
    </w:p>
    <w:p w14:paraId="36BC5223" w14:textId="27359584" w:rsidR="00950B77" w:rsidRPr="00950B77" w:rsidRDefault="00950B77" w:rsidP="004E5C36">
      <w:pPr>
        <w:spacing w:after="0" w:line="360" w:lineRule="auto"/>
        <w:ind w:left="-170" w:right="-170"/>
        <w:jc w:val="both"/>
        <w:rPr>
          <w:rFonts w:cstheme="minorHAnsi"/>
          <w:noProof/>
          <w:lang w:val="en-US"/>
        </w:rPr>
      </w:pPr>
      <w:r w:rsidRPr="00950B77">
        <w:rPr>
          <w:rFonts w:cstheme="minorHAnsi"/>
          <w:noProof/>
          <w:lang w:val="en-US"/>
        </w:rPr>
        <w:t xml:space="preserve">The association of Urinary Tract Infection with </w:t>
      </w:r>
      <w:r w:rsidR="00F4023D">
        <w:rPr>
          <w:rFonts w:cstheme="minorHAnsi"/>
          <w:noProof/>
          <w:lang w:val="en-US"/>
        </w:rPr>
        <w:t>SSI</w:t>
      </w:r>
      <w:r w:rsidRPr="00950B77">
        <w:rPr>
          <w:rFonts w:cstheme="minorHAnsi"/>
          <w:noProof/>
          <w:lang w:val="en-US"/>
        </w:rPr>
        <w:t xml:space="preserve"> is included in a study, based on non-consensual evidence, which leads to the continuous postponement of surgeries. </w:t>
      </w:r>
      <w:r w:rsidR="006B54CA" w:rsidRPr="006B54CA">
        <w:rPr>
          <w:rFonts w:cstheme="minorHAnsi"/>
          <w:noProof/>
          <w:lang w:val="en-US"/>
        </w:rPr>
        <w:t xml:space="preserve">Punjani et al. </w:t>
      </w:r>
      <w:r w:rsidRPr="00950B77">
        <w:rPr>
          <w:rFonts w:cstheme="minorHAnsi"/>
          <w:noProof/>
          <w:lang w:val="en-US"/>
        </w:rPr>
        <w:t>(2018) states that pre</w:t>
      </w:r>
      <w:r w:rsidR="006B54CA">
        <w:rPr>
          <w:rFonts w:cstheme="minorHAnsi"/>
          <w:noProof/>
          <w:lang w:val="en-US"/>
        </w:rPr>
        <w:t xml:space="preserve"> </w:t>
      </w:r>
      <w:r w:rsidRPr="00950B77">
        <w:rPr>
          <w:rFonts w:cstheme="minorHAnsi"/>
          <w:noProof/>
          <w:lang w:val="en-US"/>
        </w:rPr>
        <w:t>and intraoperative urinary tract infection does not constitute an increased risk of SSI, unlike that which occurs post-operatively, and that this urinary infection in the preoperative period is not an impediment to performing surgery, although they consider it prudent to start adequate antibiotic therapy.</w:t>
      </w:r>
    </w:p>
    <w:p w14:paraId="17D7E7C6" w14:textId="6BA4E099" w:rsidR="00950B77" w:rsidRPr="002445D1" w:rsidRDefault="00950B77" w:rsidP="004E5C36">
      <w:pPr>
        <w:spacing w:after="0" w:line="360" w:lineRule="auto"/>
        <w:ind w:left="-170" w:right="-170"/>
        <w:jc w:val="both"/>
        <w:rPr>
          <w:rFonts w:cstheme="minorHAnsi"/>
          <w:noProof/>
          <w:lang w:val="en-US"/>
        </w:rPr>
      </w:pPr>
      <w:r w:rsidRPr="00950B77">
        <w:rPr>
          <w:rFonts w:cstheme="minorHAnsi"/>
          <w:noProof/>
          <w:lang w:val="en-US"/>
        </w:rPr>
        <w:t xml:space="preserve">Cyanoacrylate Skin Glue in the closure of the surgical wound is also indicated as a modifiable risk factor, justified by the increase in exudate from the surgical wound, due to the barrier formed by the glue on the skin, preventing drainage of the wound in the immediate postoperative period, accumulating fluids, potentiating </w:t>
      </w:r>
      <w:r w:rsidR="00F4023D">
        <w:rPr>
          <w:rFonts w:cstheme="minorHAnsi"/>
          <w:noProof/>
          <w:lang w:val="en-US"/>
        </w:rPr>
        <w:t>SSI</w:t>
      </w:r>
      <w:r w:rsidRPr="00950B77">
        <w:rPr>
          <w:rFonts w:cstheme="minorHAnsi"/>
          <w:noProof/>
          <w:lang w:val="en-US"/>
        </w:rPr>
        <w:t xml:space="preserve">, and due to the increased tension of the wound tissues, it makes the skin irregular, causing damage and an access route for microbial agents. Filho et al. (2021) states that it can be safely used as an alternative in surgeries, due to its ease of application and increased healing efficiency. </w:t>
      </w:r>
      <w:r w:rsidRPr="002445D1">
        <w:rPr>
          <w:rFonts w:cstheme="minorHAnsi"/>
          <w:noProof/>
          <w:lang w:val="en-US"/>
        </w:rPr>
        <w:t>However, these authors emphasize that this suturing method should be used specifically in plastic, ophthalmic and cardiac surgeries, in line with the present ScR.</w:t>
      </w:r>
    </w:p>
    <w:p w14:paraId="54B13E76" w14:textId="3706A48F" w:rsidR="008E7A17" w:rsidRDefault="00950B77" w:rsidP="004E5C36">
      <w:pPr>
        <w:spacing w:after="0" w:line="360" w:lineRule="auto"/>
        <w:ind w:left="-170" w:right="-170"/>
        <w:jc w:val="both"/>
        <w:rPr>
          <w:rFonts w:cstheme="minorHAnsi"/>
          <w:noProof/>
          <w:lang w:val="en-US"/>
        </w:rPr>
      </w:pPr>
      <w:r w:rsidRPr="00950B77">
        <w:rPr>
          <w:rFonts w:cstheme="minorHAnsi"/>
          <w:noProof/>
          <w:lang w:val="en-US"/>
        </w:rPr>
        <w:t xml:space="preserve">Finally, non-compliance with the protocol guidelines was identified as a modifiable risk of SSI after TKA, referring to the guidelines regarding antibiotic therapy in the perioperative period, preoperative trichotomy and venous thromboembolism prophylaxis. In the latter, the use of warfarin or rivaroxaban increases the risk of SSI in relation to the use of aspirin or dalteparin, </w:t>
      </w:r>
      <w:r w:rsidRPr="00950B77">
        <w:rPr>
          <w:rFonts w:cstheme="minorHAnsi"/>
          <w:noProof/>
          <w:lang w:val="en-US"/>
        </w:rPr>
        <w:t>although the authors acknowledge the lack of consensus. Other studies recognize that adherence to guidelines contributes to reducing the risk of SSI, as it requires professionals to ensure that all interventions are performed correctly (DGS, 2022b; Fernandes, 2022; Martins &amp; Fernandes, 2019).</w:t>
      </w:r>
    </w:p>
    <w:p w14:paraId="14E3E322" w14:textId="77777777" w:rsidR="00950B77" w:rsidRPr="00950B77" w:rsidRDefault="00950B77" w:rsidP="004E5C36">
      <w:pPr>
        <w:spacing w:after="0" w:line="360" w:lineRule="auto"/>
        <w:ind w:left="-170" w:right="-170"/>
        <w:jc w:val="both"/>
        <w:rPr>
          <w:rFonts w:cstheme="minorHAnsi"/>
          <w:lang w:val="en-US"/>
        </w:rPr>
      </w:pPr>
    </w:p>
    <w:p w14:paraId="1774C911" w14:textId="77777777" w:rsidR="006B54CA" w:rsidRPr="004E5C36" w:rsidRDefault="00950B77" w:rsidP="004E5C36">
      <w:pPr>
        <w:spacing w:after="120" w:line="360" w:lineRule="auto"/>
        <w:ind w:left="-170" w:right="-170"/>
        <w:jc w:val="both"/>
        <w:rPr>
          <w:rFonts w:cstheme="minorHAnsi"/>
          <w:b/>
          <w:bCs/>
          <w:lang w:val="en-US"/>
        </w:rPr>
      </w:pPr>
      <w:r w:rsidRPr="004E5C36">
        <w:rPr>
          <w:rFonts w:cstheme="minorHAnsi"/>
          <w:b/>
          <w:bCs/>
          <w:lang w:val="en-US"/>
        </w:rPr>
        <w:t>CONCLUSION</w:t>
      </w:r>
    </w:p>
    <w:p w14:paraId="02F7824C" w14:textId="438DE91F" w:rsidR="00C541F2" w:rsidRPr="00950B77" w:rsidRDefault="00950B77" w:rsidP="004E5C36">
      <w:pPr>
        <w:spacing w:after="0" w:line="360" w:lineRule="auto"/>
        <w:ind w:left="-170" w:right="-170"/>
        <w:jc w:val="both"/>
        <w:rPr>
          <w:rFonts w:cstheme="minorHAnsi"/>
          <w:lang w:val="en-US"/>
        </w:rPr>
      </w:pPr>
      <w:r w:rsidRPr="00950B77">
        <w:rPr>
          <w:rFonts w:cstheme="minorHAnsi"/>
          <w:lang w:val="en-US"/>
        </w:rPr>
        <w:t xml:space="preserve">The risk factors for SSI </w:t>
      </w:r>
      <w:proofErr w:type="gramStart"/>
      <w:r w:rsidR="006B54CA">
        <w:rPr>
          <w:rFonts w:cstheme="minorHAnsi"/>
          <w:lang w:val="en-US"/>
        </w:rPr>
        <w:t>is</w:t>
      </w:r>
      <w:proofErr w:type="gramEnd"/>
      <w:r w:rsidRPr="00950B77">
        <w:rPr>
          <w:rFonts w:cstheme="minorHAnsi"/>
          <w:lang w:val="en-US"/>
        </w:rPr>
        <w:t xml:space="preserve"> multifactorial and </w:t>
      </w:r>
      <w:proofErr w:type="gramStart"/>
      <w:r w:rsidR="006B54CA">
        <w:rPr>
          <w:rFonts w:cstheme="minorHAnsi"/>
          <w:lang w:val="en-US"/>
        </w:rPr>
        <w:t>is</w:t>
      </w:r>
      <w:proofErr w:type="gramEnd"/>
      <w:r w:rsidRPr="00950B77">
        <w:rPr>
          <w:rFonts w:cstheme="minorHAnsi"/>
          <w:lang w:val="en-US"/>
        </w:rPr>
        <w:t xml:space="preserve"> present throughout the perioperative period, or in a single phase, and are classified as modifiable and non-modifiable. It is important to identify and recognize </w:t>
      </w:r>
      <w:r w:rsidR="00F4023D">
        <w:rPr>
          <w:rFonts w:cstheme="minorHAnsi"/>
          <w:lang w:val="en-US"/>
        </w:rPr>
        <w:t>SSIs</w:t>
      </w:r>
      <w:r w:rsidRPr="00950B77">
        <w:rPr>
          <w:rFonts w:cstheme="minorHAnsi"/>
          <w:lang w:val="en-US"/>
        </w:rPr>
        <w:t xml:space="preserve"> risk factors </w:t>
      </w:r>
      <w:proofErr w:type="gramStart"/>
      <w:r w:rsidRPr="00950B77">
        <w:rPr>
          <w:rFonts w:cstheme="minorHAnsi"/>
          <w:lang w:val="en-US"/>
        </w:rPr>
        <w:t>in order to</w:t>
      </w:r>
      <w:proofErr w:type="gramEnd"/>
      <w:r w:rsidRPr="00950B77">
        <w:rPr>
          <w:rFonts w:cstheme="minorHAnsi"/>
          <w:lang w:val="en-US"/>
        </w:rPr>
        <w:t xml:space="preserve"> implement prevention and control measures. This study may be the impetus for carrying out prospective observational studies, with a view to measuring the weight of each risk factor in the emergence of </w:t>
      </w:r>
      <w:r w:rsidR="00F4023D">
        <w:rPr>
          <w:rFonts w:cstheme="minorHAnsi"/>
          <w:lang w:val="en-US"/>
        </w:rPr>
        <w:t>SSI</w:t>
      </w:r>
      <w:r w:rsidRPr="00950B77">
        <w:rPr>
          <w:rFonts w:cstheme="minorHAnsi"/>
          <w:lang w:val="en-US"/>
        </w:rPr>
        <w:t xml:space="preserve"> and creating predictive models. It will also help to reduce costs for people in perioperative situations and healthcare units. The identification of Modifiable Risk Factors allows the Specialist Nurse to plan interventions in a timely manner, minimizing the risks of SSI. The early identification of Non-Modifiable Risk Factors allows the creation of case study programs for monitoring and surveillance.</w:t>
      </w:r>
    </w:p>
    <w:p w14:paraId="2088811D" w14:textId="77777777" w:rsidR="00950B77" w:rsidRPr="00950B77" w:rsidRDefault="00950B77" w:rsidP="004E5C36">
      <w:pPr>
        <w:spacing w:after="0" w:line="360" w:lineRule="auto"/>
        <w:ind w:left="-170" w:right="-170"/>
        <w:jc w:val="both"/>
        <w:rPr>
          <w:rFonts w:cstheme="minorHAnsi"/>
          <w:lang w:val="en-US"/>
        </w:rPr>
      </w:pPr>
    </w:p>
    <w:p w14:paraId="7991145C" w14:textId="64CB89FC" w:rsidR="00950B77" w:rsidRPr="004E5C36" w:rsidRDefault="00950B77" w:rsidP="004E5C36">
      <w:pPr>
        <w:spacing w:after="120" w:line="360" w:lineRule="auto"/>
        <w:ind w:left="-170" w:right="-170"/>
        <w:jc w:val="both"/>
        <w:rPr>
          <w:rFonts w:cstheme="minorHAnsi"/>
          <w:b/>
          <w:bCs/>
          <w:lang w:val="en-US"/>
        </w:rPr>
      </w:pPr>
      <w:r w:rsidRPr="004E5C36">
        <w:rPr>
          <w:rFonts w:cstheme="minorHAnsi"/>
          <w:b/>
          <w:bCs/>
          <w:lang w:val="en-US"/>
        </w:rPr>
        <w:t>REFERENCES</w:t>
      </w:r>
    </w:p>
    <w:p w14:paraId="77EFB4C7" w14:textId="52585637" w:rsidR="00EC50CB" w:rsidRDefault="00E6475B" w:rsidP="004E5C36">
      <w:pPr>
        <w:spacing w:after="120" w:line="240" w:lineRule="auto"/>
        <w:ind w:left="-170" w:right="-170"/>
        <w:jc w:val="both"/>
        <w:rPr>
          <w:rFonts w:cstheme="minorHAnsi"/>
          <w:lang w:val="en-US"/>
        </w:rPr>
      </w:pPr>
      <w:r w:rsidRPr="00903AE3">
        <w:rPr>
          <w:rFonts w:cstheme="minorHAnsi"/>
          <w:lang w:val="en-US"/>
        </w:rPr>
        <w:t xml:space="preserve">Anthony, C. A., Peterson, R. A., </w:t>
      </w:r>
      <w:proofErr w:type="spellStart"/>
      <w:r w:rsidRPr="00903AE3">
        <w:rPr>
          <w:rFonts w:cstheme="minorHAnsi"/>
          <w:lang w:val="en-US"/>
        </w:rPr>
        <w:t>Polgreen</w:t>
      </w:r>
      <w:proofErr w:type="spellEnd"/>
      <w:r w:rsidRPr="00903AE3">
        <w:rPr>
          <w:rFonts w:cstheme="minorHAnsi"/>
          <w:lang w:val="en-US"/>
        </w:rPr>
        <w:t xml:space="preserve">, L. A., Sewell, D. K., &amp; </w:t>
      </w:r>
      <w:proofErr w:type="spellStart"/>
      <w:r w:rsidRPr="00903AE3">
        <w:rPr>
          <w:rFonts w:cstheme="minorHAnsi"/>
          <w:lang w:val="en-US"/>
        </w:rPr>
        <w:t>Polgreen</w:t>
      </w:r>
      <w:proofErr w:type="spellEnd"/>
      <w:r w:rsidRPr="00903AE3">
        <w:rPr>
          <w:rFonts w:cstheme="minorHAnsi"/>
          <w:lang w:val="en-US"/>
        </w:rPr>
        <w:t xml:space="preserve">, P. M. (2017). </w:t>
      </w:r>
      <w:r w:rsidR="00876156" w:rsidRPr="00903AE3">
        <w:rPr>
          <w:rFonts w:cstheme="minorHAnsi"/>
          <w:lang w:val="en-US"/>
        </w:rPr>
        <w:t>The seasonal variability in surgical site infections and the association with warmer weather: a population-based investigation</w:t>
      </w:r>
      <w:r w:rsidRPr="00903AE3">
        <w:rPr>
          <w:rFonts w:cstheme="minorHAnsi"/>
          <w:lang w:val="en-US"/>
        </w:rPr>
        <w:t xml:space="preserve">. </w:t>
      </w:r>
      <w:r w:rsidRPr="00903AE3">
        <w:rPr>
          <w:rFonts w:cstheme="minorHAnsi"/>
          <w:i/>
          <w:iCs/>
          <w:lang w:val="en-US"/>
        </w:rPr>
        <w:t xml:space="preserve">Infection </w:t>
      </w:r>
      <w:r w:rsidR="000C28CF" w:rsidRPr="00903AE3">
        <w:rPr>
          <w:rFonts w:cstheme="minorHAnsi"/>
          <w:i/>
          <w:iCs/>
          <w:lang w:val="en-US"/>
        </w:rPr>
        <w:t>C</w:t>
      </w:r>
      <w:r w:rsidRPr="00903AE3">
        <w:rPr>
          <w:rFonts w:cstheme="minorHAnsi"/>
          <w:i/>
          <w:iCs/>
          <w:lang w:val="en-US"/>
        </w:rPr>
        <w:t>ontrol &amp; Hospital Epidemiology</w:t>
      </w:r>
      <w:r w:rsidRPr="00903AE3">
        <w:rPr>
          <w:rFonts w:cstheme="minorHAnsi"/>
          <w:lang w:val="en-US"/>
        </w:rPr>
        <w:t xml:space="preserve">, </w:t>
      </w:r>
      <w:r w:rsidR="00942F44" w:rsidRPr="00903AE3">
        <w:rPr>
          <w:rFonts w:cstheme="minorHAnsi"/>
          <w:i/>
          <w:iCs/>
          <w:lang w:val="en-US"/>
        </w:rPr>
        <w:t>38</w:t>
      </w:r>
      <w:r w:rsidR="00942F44" w:rsidRPr="00903AE3">
        <w:rPr>
          <w:rFonts w:cstheme="minorHAnsi"/>
          <w:lang w:val="en-US"/>
        </w:rPr>
        <w:t xml:space="preserve">(7) </w:t>
      </w:r>
      <w:r w:rsidR="00DF5AA8" w:rsidRPr="00903AE3">
        <w:rPr>
          <w:rFonts w:cstheme="minorHAnsi"/>
          <w:lang w:val="en-US"/>
        </w:rPr>
        <w:t>809-816</w:t>
      </w:r>
      <w:r w:rsidRPr="00903AE3">
        <w:rPr>
          <w:rFonts w:cstheme="minorHAnsi"/>
          <w:lang w:val="en-US"/>
        </w:rPr>
        <w:t xml:space="preserve">. </w:t>
      </w:r>
      <w:proofErr w:type="gramStart"/>
      <w:r w:rsidRPr="00903AE3">
        <w:rPr>
          <w:rFonts w:cstheme="minorHAnsi"/>
          <w:lang w:val="en-US"/>
        </w:rPr>
        <w:t>http.//doi.org/10.1017/ice.2017.8</w:t>
      </w:r>
      <w:r w:rsidR="00DE6879">
        <w:rPr>
          <w:rFonts w:cstheme="minorHAnsi"/>
          <w:lang w:val="en-US"/>
        </w:rPr>
        <w:t>4</w:t>
      </w:r>
      <w:proofErr w:type="gramEnd"/>
    </w:p>
    <w:p w14:paraId="57234466" w14:textId="79F9CD16" w:rsidR="00E6475B" w:rsidRPr="00903AE3" w:rsidRDefault="00E6475B" w:rsidP="004E5C36">
      <w:pPr>
        <w:spacing w:after="120" w:line="240" w:lineRule="auto"/>
        <w:ind w:left="-170" w:right="-170"/>
        <w:jc w:val="both"/>
        <w:rPr>
          <w:rFonts w:cstheme="minorHAnsi"/>
          <w:lang w:val="en-US"/>
        </w:rPr>
      </w:pPr>
      <w:proofErr w:type="spellStart"/>
      <w:r w:rsidRPr="00903AE3">
        <w:rPr>
          <w:rFonts w:cstheme="minorHAnsi"/>
          <w:lang w:val="en-US"/>
        </w:rPr>
        <w:t>Bachoura</w:t>
      </w:r>
      <w:proofErr w:type="spellEnd"/>
      <w:r w:rsidRPr="00903AE3">
        <w:rPr>
          <w:rFonts w:cstheme="minorHAnsi"/>
          <w:lang w:val="en-US"/>
        </w:rPr>
        <w:t xml:space="preserve">, A., Guitton, T. G., Smith, R. M., </w:t>
      </w:r>
      <w:proofErr w:type="spellStart"/>
      <w:r w:rsidRPr="00903AE3">
        <w:rPr>
          <w:rFonts w:cstheme="minorHAnsi"/>
          <w:lang w:val="en-US"/>
        </w:rPr>
        <w:t>Vrahas</w:t>
      </w:r>
      <w:proofErr w:type="spellEnd"/>
      <w:r w:rsidRPr="00903AE3">
        <w:rPr>
          <w:rFonts w:cstheme="minorHAnsi"/>
          <w:lang w:val="en-US"/>
        </w:rPr>
        <w:t xml:space="preserve">, M. S., Zurakowski, D., &amp; Ring, D. (2011). </w:t>
      </w:r>
      <w:r w:rsidR="003A7E21" w:rsidRPr="00903AE3">
        <w:rPr>
          <w:rFonts w:cstheme="minorHAnsi"/>
          <w:lang w:val="en-US"/>
        </w:rPr>
        <w:t>Infirmity and injury complexity are risk factors for surgical-site infection after operative fracture care</w:t>
      </w:r>
      <w:r w:rsidRPr="00903AE3">
        <w:rPr>
          <w:rFonts w:cstheme="minorHAnsi"/>
          <w:lang w:val="en-US"/>
        </w:rPr>
        <w:t xml:space="preserve">. </w:t>
      </w:r>
      <w:r w:rsidRPr="00903AE3">
        <w:rPr>
          <w:rFonts w:cstheme="minorHAnsi"/>
          <w:i/>
          <w:iCs/>
          <w:lang w:val="en-US"/>
        </w:rPr>
        <w:t xml:space="preserve">Clinical </w:t>
      </w:r>
      <w:proofErr w:type="spellStart"/>
      <w:r w:rsidRPr="00903AE3">
        <w:rPr>
          <w:rFonts w:cstheme="minorHAnsi"/>
          <w:i/>
          <w:iCs/>
          <w:lang w:val="en-US"/>
        </w:rPr>
        <w:t>Orthopaedics</w:t>
      </w:r>
      <w:proofErr w:type="spellEnd"/>
      <w:r w:rsidRPr="00903AE3">
        <w:rPr>
          <w:rFonts w:cstheme="minorHAnsi"/>
          <w:i/>
          <w:iCs/>
          <w:lang w:val="en-US"/>
        </w:rPr>
        <w:t xml:space="preserve"> and Related Research, 469</w:t>
      </w:r>
      <w:r w:rsidRPr="00903AE3">
        <w:rPr>
          <w:rFonts w:cstheme="minorHAnsi"/>
          <w:lang w:val="en-US"/>
        </w:rPr>
        <w:t xml:space="preserve">(9), 2621-2630. </w:t>
      </w:r>
      <w:hyperlink r:id="rId19" w:history="1">
        <w:r w:rsidR="00D30959" w:rsidRPr="00903AE3">
          <w:rPr>
            <w:rStyle w:val="Hiperligao"/>
            <w:rFonts w:cstheme="minorHAnsi"/>
            <w:color w:val="auto"/>
            <w:lang w:val="en-US"/>
          </w:rPr>
          <w:t>http://doi.org/10.1007/s11999-010-1737-2</w:t>
        </w:r>
      </w:hyperlink>
    </w:p>
    <w:p w14:paraId="724FCF8C" w14:textId="2344F16D" w:rsidR="00A150C8" w:rsidRPr="00903AE3" w:rsidRDefault="00A150C8" w:rsidP="004E5C36">
      <w:pPr>
        <w:spacing w:after="120" w:line="240" w:lineRule="auto"/>
        <w:ind w:left="-170" w:right="-170"/>
        <w:jc w:val="both"/>
        <w:rPr>
          <w:rFonts w:cstheme="minorHAnsi"/>
        </w:rPr>
      </w:pPr>
      <w:r w:rsidRPr="00903AE3">
        <w:rPr>
          <w:rFonts w:cstheme="minorHAnsi"/>
          <w:lang w:val="en-US"/>
        </w:rPr>
        <w:lastRenderedPageBreak/>
        <w:t xml:space="preserve">Badge, H. M., Churches, T., Naylor, J. M., Xuan, W., Armstrong, E., Gray, L., Fletcher, J., </w:t>
      </w:r>
      <w:proofErr w:type="spellStart"/>
      <w:r w:rsidRPr="00903AE3">
        <w:rPr>
          <w:rFonts w:cstheme="minorHAnsi"/>
          <w:lang w:val="en-US"/>
        </w:rPr>
        <w:t>Gosbell</w:t>
      </w:r>
      <w:proofErr w:type="spellEnd"/>
      <w:r w:rsidRPr="00903AE3">
        <w:rPr>
          <w:rFonts w:cstheme="minorHAnsi"/>
          <w:lang w:val="en-US"/>
        </w:rPr>
        <w:t xml:space="preserve">, I., Lin, C., &amp; Harris, I. A. (2021). Non-compliance with clinical guidelines increases the risk of complications after primary total hip and knee joint replacement surgery. </w:t>
      </w:r>
      <w:proofErr w:type="spellStart"/>
      <w:r w:rsidRPr="00903AE3">
        <w:rPr>
          <w:rFonts w:cstheme="minorHAnsi"/>
          <w:i/>
          <w:iCs/>
        </w:rPr>
        <w:t>PloS</w:t>
      </w:r>
      <w:proofErr w:type="spellEnd"/>
      <w:r w:rsidRPr="00903AE3">
        <w:rPr>
          <w:rFonts w:cstheme="minorHAnsi"/>
          <w:i/>
          <w:iCs/>
        </w:rPr>
        <w:t xml:space="preserve"> </w:t>
      </w:r>
      <w:proofErr w:type="spellStart"/>
      <w:r w:rsidRPr="00903AE3">
        <w:rPr>
          <w:rFonts w:cstheme="minorHAnsi"/>
          <w:i/>
          <w:iCs/>
        </w:rPr>
        <w:t>One</w:t>
      </w:r>
      <w:proofErr w:type="spellEnd"/>
      <w:r w:rsidRPr="00903AE3">
        <w:rPr>
          <w:rFonts w:cstheme="minorHAnsi"/>
          <w:i/>
          <w:iCs/>
        </w:rPr>
        <w:t>, 16</w:t>
      </w:r>
      <w:r w:rsidRPr="00903AE3">
        <w:rPr>
          <w:rFonts w:cstheme="minorHAnsi"/>
        </w:rPr>
        <w:t xml:space="preserve">(11). </w:t>
      </w:r>
      <w:hyperlink r:id="rId20" w:history="1">
        <w:r w:rsidRPr="00903AE3">
          <w:rPr>
            <w:rStyle w:val="Hiperligao"/>
            <w:rFonts w:cstheme="minorHAnsi"/>
            <w:color w:val="auto"/>
          </w:rPr>
          <w:t>https://doi.org/10.1371/journal.pone.0260146</w:t>
        </w:r>
      </w:hyperlink>
    </w:p>
    <w:p w14:paraId="1DA555B6" w14:textId="0AE7C063" w:rsidR="00E6475B" w:rsidRPr="00903AE3" w:rsidRDefault="00E6475B" w:rsidP="004E5C36">
      <w:pPr>
        <w:spacing w:after="120" w:line="240" w:lineRule="auto"/>
        <w:ind w:left="-170" w:right="-170"/>
        <w:jc w:val="both"/>
        <w:rPr>
          <w:rFonts w:cstheme="minorHAnsi"/>
          <w:lang w:val="en-US"/>
        </w:rPr>
      </w:pPr>
      <w:proofErr w:type="spellStart"/>
      <w:r w:rsidRPr="00903AE3">
        <w:rPr>
          <w:rFonts w:cstheme="minorHAnsi"/>
        </w:rPr>
        <w:t>Bakri</w:t>
      </w:r>
      <w:proofErr w:type="spellEnd"/>
      <w:r w:rsidRPr="00903AE3">
        <w:rPr>
          <w:rFonts w:cstheme="minorHAnsi"/>
        </w:rPr>
        <w:t xml:space="preserve">, M., da Silva, I., Amaro, M., Moreira, H., &amp; </w:t>
      </w:r>
      <w:proofErr w:type="spellStart"/>
      <w:r w:rsidRPr="00903AE3">
        <w:rPr>
          <w:rFonts w:cstheme="minorHAnsi"/>
        </w:rPr>
        <w:t>Naufel</w:t>
      </w:r>
      <w:proofErr w:type="spellEnd"/>
      <w:r w:rsidRPr="00903AE3">
        <w:rPr>
          <w:rFonts w:cstheme="minorHAnsi"/>
        </w:rPr>
        <w:t xml:space="preserve">-Júnior, C. (2021). </w:t>
      </w:r>
      <w:r w:rsidRPr="00903AE3">
        <w:rPr>
          <w:rFonts w:cstheme="minorHAnsi"/>
          <w:lang w:val="en-US"/>
        </w:rPr>
        <w:t xml:space="preserve">What are the main risk factors for surgical site </w:t>
      </w:r>
      <w:r w:rsidR="00C2519D" w:rsidRPr="00903AE3">
        <w:rPr>
          <w:rFonts w:cstheme="minorHAnsi"/>
          <w:lang w:val="en-US"/>
        </w:rPr>
        <w:t>infection?</w:t>
      </w:r>
      <w:r w:rsidRPr="00903AE3">
        <w:rPr>
          <w:rFonts w:cstheme="minorHAnsi"/>
          <w:lang w:val="en-US"/>
        </w:rPr>
        <w:t xml:space="preserve"> </w:t>
      </w:r>
      <w:r w:rsidRPr="00903AE3">
        <w:rPr>
          <w:rFonts w:cstheme="minorHAnsi"/>
          <w:i/>
          <w:iCs/>
          <w:lang w:val="en-US"/>
        </w:rPr>
        <w:t xml:space="preserve">Rev. </w:t>
      </w:r>
      <w:proofErr w:type="spellStart"/>
      <w:r w:rsidRPr="00903AE3">
        <w:rPr>
          <w:rFonts w:cstheme="minorHAnsi"/>
          <w:i/>
          <w:iCs/>
          <w:lang w:val="en-US"/>
        </w:rPr>
        <w:t>Méd</w:t>
      </w:r>
      <w:proofErr w:type="spellEnd"/>
      <w:r w:rsidRPr="00903AE3">
        <w:rPr>
          <w:rFonts w:cstheme="minorHAnsi"/>
          <w:i/>
          <w:iCs/>
          <w:lang w:val="en-US"/>
        </w:rPr>
        <w:t>. Paraná, 79</w:t>
      </w:r>
      <w:r w:rsidRPr="00903AE3">
        <w:rPr>
          <w:rFonts w:cstheme="minorHAnsi"/>
          <w:lang w:val="en-US"/>
        </w:rPr>
        <w:t xml:space="preserve">(Supl.1), 71-74. </w:t>
      </w:r>
      <w:hyperlink r:id="rId21" w:history="1">
        <w:r w:rsidRPr="00903AE3">
          <w:rPr>
            <w:rStyle w:val="Hiperligao"/>
            <w:rFonts w:cstheme="minorHAnsi"/>
            <w:color w:val="auto"/>
            <w:lang w:val="en-US"/>
          </w:rPr>
          <w:t>http://doi.org/10.55684/79.2.1687</w:t>
        </w:r>
      </w:hyperlink>
    </w:p>
    <w:p w14:paraId="06EF6FF5" w14:textId="48AC507F" w:rsidR="00A150C8" w:rsidRPr="00903AE3" w:rsidRDefault="00E6475B" w:rsidP="004E5C36">
      <w:pPr>
        <w:spacing w:after="120" w:line="240" w:lineRule="auto"/>
        <w:ind w:left="-170" w:right="-170"/>
        <w:jc w:val="both"/>
        <w:rPr>
          <w:rFonts w:cstheme="minorHAnsi"/>
          <w:lang w:val="en-US"/>
        </w:rPr>
      </w:pPr>
      <w:r w:rsidRPr="00903AE3">
        <w:rPr>
          <w:rFonts w:cstheme="minorHAnsi"/>
          <w:lang w:val="en-US"/>
        </w:rPr>
        <w:t xml:space="preserve">Bhave, A., &amp; Baker, E. (2015). </w:t>
      </w:r>
      <w:r w:rsidRPr="00903AE3">
        <w:rPr>
          <w:rFonts w:cstheme="minorHAnsi"/>
          <w:i/>
          <w:iCs/>
          <w:lang w:val="en-US"/>
        </w:rPr>
        <w:t xml:space="preserve">Rehabilitation protocol. Total Knee </w:t>
      </w:r>
      <w:proofErr w:type="spellStart"/>
      <w:r w:rsidRPr="00903AE3">
        <w:rPr>
          <w:rFonts w:cstheme="minorHAnsi"/>
          <w:i/>
          <w:iCs/>
          <w:lang w:val="en-US"/>
        </w:rPr>
        <w:t>Arthrosplasty</w:t>
      </w:r>
      <w:proofErr w:type="spellEnd"/>
      <w:r w:rsidRPr="00903AE3">
        <w:rPr>
          <w:rFonts w:cstheme="minorHAnsi"/>
          <w:lang w:val="en-US"/>
        </w:rPr>
        <w:t xml:space="preserve">. Sinai Hospital: Rubin Institute of Advanced Orthopedics. </w:t>
      </w:r>
      <w:hyperlink r:id="rId22" w:history="1">
        <w:r w:rsidR="00A150C8" w:rsidRPr="00903AE3">
          <w:rPr>
            <w:rStyle w:val="Hiperligao"/>
            <w:rFonts w:cstheme="minorHAnsi"/>
            <w:color w:val="auto"/>
            <w:lang w:val="en-US"/>
          </w:rPr>
          <w:t>https://alterg.com/wp-content/uploads/2018/06/Total-Knee-Arthroplasty.pdf</w:t>
        </w:r>
      </w:hyperlink>
    </w:p>
    <w:p w14:paraId="726F407B" w14:textId="186F7530" w:rsidR="00E6475B" w:rsidRPr="00903AE3" w:rsidRDefault="00E6475B" w:rsidP="004E5C36">
      <w:pPr>
        <w:spacing w:after="120" w:line="240" w:lineRule="auto"/>
        <w:ind w:left="-170" w:right="-170"/>
        <w:jc w:val="both"/>
        <w:rPr>
          <w:rStyle w:val="Hiperligao"/>
          <w:rFonts w:cstheme="minorHAnsi"/>
          <w:color w:val="auto"/>
        </w:rPr>
      </w:pPr>
      <w:r w:rsidRPr="00903AE3">
        <w:rPr>
          <w:rFonts w:cstheme="minorHAnsi"/>
          <w:lang w:val="en-US"/>
        </w:rPr>
        <w:t xml:space="preserve">Bozic, K., Lau, E., Kurtz, S., Ong, K., &amp; Berry, D. (2012). </w:t>
      </w:r>
      <w:r w:rsidR="006124C5" w:rsidRPr="00903AE3">
        <w:rPr>
          <w:rFonts w:cstheme="minorHAnsi"/>
          <w:lang w:val="en-US"/>
        </w:rPr>
        <w:t xml:space="preserve">Patient-related risk factors for postoperative mortality and periprosthetic joint infection in </w:t>
      </w:r>
      <w:proofErr w:type="spellStart"/>
      <w:r w:rsidR="006124C5" w:rsidRPr="00903AE3">
        <w:rPr>
          <w:rFonts w:cstheme="minorHAnsi"/>
          <w:lang w:val="en-US"/>
        </w:rPr>
        <w:t>medicare</w:t>
      </w:r>
      <w:proofErr w:type="spellEnd"/>
      <w:r w:rsidR="006124C5" w:rsidRPr="00903AE3">
        <w:rPr>
          <w:rFonts w:cstheme="minorHAnsi"/>
          <w:lang w:val="en-US"/>
        </w:rPr>
        <w:t xml:space="preserve"> patients undergoing</w:t>
      </w:r>
      <w:r w:rsidRPr="00903AE3">
        <w:rPr>
          <w:rFonts w:cstheme="minorHAnsi"/>
          <w:lang w:val="en-US"/>
        </w:rPr>
        <w:t xml:space="preserve"> TKA. </w:t>
      </w:r>
      <w:proofErr w:type="spellStart"/>
      <w:r w:rsidRPr="00903AE3">
        <w:rPr>
          <w:rFonts w:cstheme="minorHAnsi"/>
          <w:i/>
          <w:iCs/>
        </w:rPr>
        <w:t>Clinical</w:t>
      </w:r>
      <w:proofErr w:type="spellEnd"/>
      <w:r w:rsidRPr="00903AE3">
        <w:rPr>
          <w:rFonts w:cstheme="minorHAnsi"/>
          <w:i/>
          <w:iCs/>
        </w:rPr>
        <w:t xml:space="preserve"> </w:t>
      </w:r>
      <w:proofErr w:type="spellStart"/>
      <w:r w:rsidRPr="00903AE3">
        <w:rPr>
          <w:rFonts w:cstheme="minorHAnsi"/>
          <w:i/>
          <w:iCs/>
        </w:rPr>
        <w:t>Orthopaedics</w:t>
      </w:r>
      <w:proofErr w:type="spellEnd"/>
      <w:r w:rsidRPr="00903AE3">
        <w:rPr>
          <w:rFonts w:cstheme="minorHAnsi"/>
          <w:i/>
          <w:iCs/>
        </w:rPr>
        <w:t xml:space="preserve"> </w:t>
      </w:r>
      <w:proofErr w:type="spellStart"/>
      <w:r w:rsidRPr="00903AE3">
        <w:rPr>
          <w:rFonts w:cstheme="minorHAnsi"/>
          <w:i/>
          <w:iCs/>
        </w:rPr>
        <w:t>and</w:t>
      </w:r>
      <w:proofErr w:type="spellEnd"/>
      <w:r w:rsidRPr="00903AE3">
        <w:rPr>
          <w:rFonts w:cstheme="minorHAnsi"/>
          <w:i/>
          <w:iCs/>
        </w:rPr>
        <w:t xml:space="preserve"> </w:t>
      </w:r>
      <w:proofErr w:type="spellStart"/>
      <w:r w:rsidRPr="00903AE3">
        <w:rPr>
          <w:rFonts w:cstheme="minorHAnsi"/>
          <w:i/>
          <w:iCs/>
        </w:rPr>
        <w:t>Related</w:t>
      </w:r>
      <w:proofErr w:type="spellEnd"/>
      <w:r w:rsidRPr="00903AE3">
        <w:rPr>
          <w:rFonts w:cstheme="minorHAnsi"/>
          <w:i/>
          <w:iCs/>
        </w:rPr>
        <w:t xml:space="preserve"> Research, 470</w:t>
      </w:r>
      <w:r w:rsidRPr="00903AE3">
        <w:rPr>
          <w:rFonts w:cstheme="minorHAnsi"/>
        </w:rPr>
        <w:t xml:space="preserve">(1), 130-137. </w:t>
      </w:r>
      <w:hyperlink r:id="rId23" w:history="1">
        <w:r w:rsidR="00D30959" w:rsidRPr="00903AE3">
          <w:rPr>
            <w:rStyle w:val="Hiperligao"/>
            <w:rFonts w:cstheme="minorHAnsi"/>
            <w:color w:val="auto"/>
          </w:rPr>
          <w:t>http://doi.org/10.1007/s11999-011-2043-3</w:t>
        </w:r>
      </w:hyperlink>
    </w:p>
    <w:p w14:paraId="5853D125" w14:textId="45099BED" w:rsidR="00E6475B" w:rsidRPr="00903AE3" w:rsidRDefault="00E6475B" w:rsidP="004E5C36">
      <w:pPr>
        <w:spacing w:after="120" w:line="240" w:lineRule="auto"/>
        <w:ind w:left="-170" w:right="-170"/>
        <w:jc w:val="both"/>
        <w:rPr>
          <w:rFonts w:cstheme="minorHAnsi"/>
        </w:rPr>
      </w:pPr>
      <w:r w:rsidRPr="00903AE3">
        <w:rPr>
          <w:rFonts w:cstheme="minorHAnsi"/>
        </w:rPr>
        <w:t xml:space="preserve">Branco, J.C., Rodrigues, A.M., Gouveia, N., Eusébio, M., Ramiro, S., Machado, P.M., Costa, L.P., Mourão, A.F., Silva, I., </w:t>
      </w:r>
      <w:proofErr w:type="spellStart"/>
      <w:r w:rsidRPr="00903AE3">
        <w:rPr>
          <w:rFonts w:cstheme="minorHAnsi"/>
        </w:rPr>
        <w:t>Laires</w:t>
      </w:r>
      <w:proofErr w:type="spellEnd"/>
      <w:r w:rsidRPr="00903AE3">
        <w:rPr>
          <w:rFonts w:cstheme="minorHAnsi"/>
        </w:rPr>
        <w:t xml:space="preserve">, P., </w:t>
      </w:r>
      <w:proofErr w:type="spellStart"/>
      <w:r w:rsidRPr="00903AE3">
        <w:rPr>
          <w:rFonts w:cstheme="minorHAnsi"/>
        </w:rPr>
        <w:t>Sepriano</w:t>
      </w:r>
      <w:proofErr w:type="spellEnd"/>
      <w:r w:rsidRPr="00903AE3">
        <w:rPr>
          <w:rFonts w:cstheme="minorHAnsi"/>
        </w:rPr>
        <w:t xml:space="preserve">, A., Araújo, F., Gonçalves, S., Coelho, P.S., Tavares, V., Cerol, J., Mendes, J.M., Carmona, L., &amp; Canhão, H. (2016). </w:t>
      </w:r>
      <w:r w:rsidRPr="00903AE3">
        <w:rPr>
          <w:rFonts w:cstheme="minorHAnsi"/>
          <w:lang w:val="en-US"/>
        </w:rPr>
        <w:t xml:space="preserve">Prevalence of rheumatic and their impact on health-related quality of life, physical function and mental health in Portugal: results from </w:t>
      </w:r>
      <w:proofErr w:type="spellStart"/>
      <w:r w:rsidRPr="00903AE3">
        <w:rPr>
          <w:rFonts w:cstheme="minorHAnsi"/>
          <w:lang w:val="en-US"/>
        </w:rPr>
        <w:t>EpiReumaPt</w:t>
      </w:r>
      <w:proofErr w:type="spellEnd"/>
      <w:r w:rsidRPr="00903AE3">
        <w:rPr>
          <w:rFonts w:cstheme="minorHAnsi"/>
          <w:lang w:val="en-US"/>
        </w:rPr>
        <w:t xml:space="preserve"> - a national health survey. </w:t>
      </w:r>
      <w:proofErr w:type="spellStart"/>
      <w:r w:rsidRPr="00903AE3">
        <w:rPr>
          <w:rFonts w:cstheme="minorHAnsi"/>
          <w:i/>
          <w:iCs/>
        </w:rPr>
        <w:t>Rheumatic</w:t>
      </w:r>
      <w:proofErr w:type="spellEnd"/>
      <w:r w:rsidR="007A0A45" w:rsidRPr="00903AE3">
        <w:rPr>
          <w:rFonts w:cstheme="minorHAnsi"/>
          <w:i/>
          <w:iCs/>
        </w:rPr>
        <w:t xml:space="preserve"> </w:t>
      </w:r>
      <w:r w:rsidRPr="00903AE3">
        <w:rPr>
          <w:rFonts w:cstheme="minorHAnsi"/>
          <w:i/>
          <w:iCs/>
        </w:rPr>
        <w:t>&amp;</w:t>
      </w:r>
      <w:r w:rsidR="007A0A45" w:rsidRPr="00903AE3">
        <w:rPr>
          <w:rFonts w:cstheme="minorHAnsi"/>
          <w:i/>
          <w:iCs/>
        </w:rPr>
        <w:t xml:space="preserve"> </w:t>
      </w:r>
      <w:proofErr w:type="spellStart"/>
      <w:r w:rsidRPr="00903AE3">
        <w:rPr>
          <w:rFonts w:cstheme="minorHAnsi"/>
          <w:i/>
          <w:iCs/>
        </w:rPr>
        <w:t>Musculoskeletal</w:t>
      </w:r>
      <w:proofErr w:type="spellEnd"/>
      <w:r w:rsidRPr="00903AE3">
        <w:rPr>
          <w:rFonts w:cstheme="minorHAnsi"/>
          <w:i/>
          <w:iCs/>
        </w:rPr>
        <w:t xml:space="preserve"> </w:t>
      </w:r>
      <w:proofErr w:type="spellStart"/>
      <w:r w:rsidRPr="00903AE3">
        <w:rPr>
          <w:rFonts w:cstheme="minorHAnsi"/>
          <w:i/>
          <w:iCs/>
        </w:rPr>
        <w:t>Diseases</w:t>
      </w:r>
      <w:proofErr w:type="spellEnd"/>
      <w:r w:rsidR="008A0B95" w:rsidRPr="00903AE3">
        <w:rPr>
          <w:rFonts w:cstheme="minorHAnsi"/>
          <w:i/>
          <w:iCs/>
        </w:rPr>
        <w:t>,</w:t>
      </w:r>
      <w:r w:rsidRPr="00903AE3">
        <w:rPr>
          <w:rFonts w:cstheme="minorHAnsi"/>
          <w:i/>
          <w:iCs/>
        </w:rPr>
        <w:t xml:space="preserve"> 2</w:t>
      </w:r>
      <w:r w:rsidRPr="00903AE3">
        <w:rPr>
          <w:rFonts w:cstheme="minorHAnsi"/>
        </w:rPr>
        <w:t xml:space="preserve">(1), 1-12. </w:t>
      </w:r>
      <w:hyperlink r:id="rId24" w:history="1">
        <w:r w:rsidR="00D30959" w:rsidRPr="00903AE3">
          <w:rPr>
            <w:rStyle w:val="Hiperligao"/>
            <w:rFonts w:cstheme="minorHAnsi"/>
            <w:color w:val="auto"/>
          </w:rPr>
          <w:t>http://doi.org/10.1136/rmdopen-2015-000166</w:t>
        </w:r>
      </w:hyperlink>
    </w:p>
    <w:p w14:paraId="5DB7A99E" w14:textId="17DDB168" w:rsidR="00E6475B" w:rsidRPr="00903AE3" w:rsidRDefault="00E6475B" w:rsidP="004E5C36">
      <w:pPr>
        <w:spacing w:after="120" w:line="240" w:lineRule="auto"/>
        <w:ind w:left="-170" w:right="-170"/>
        <w:jc w:val="both"/>
        <w:rPr>
          <w:rFonts w:cstheme="minorHAnsi"/>
        </w:rPr>
      </w:pPr>
      <w:r w:rsidRPr="00903AE3">
        <w:rPr>
          <w:rFonts w:cstheme="minorHAnsi"/>
        </w:rPr>
        <w:t xml:space="preserve">Carvalho, R. L., Campos, C. C., Franco, L. M., Rocha, A. D., &amp; </w:t>
      </w:r>
      <w:proofErr w:type="spellStart"/>
      <w:r w:rsidRPr="00903AE3">
        <w:rPr>
          <w:rFonts w:cstheme="minorHAnsi"/>
        </w:rPr>
        <w:t>Ercole</w:t>
      </w:r>
      <w:proofErr w:type="spellEnd"/>
      <w:r w:rsidRPr="00903AE3">
        <w:rPr>
          <w:rFonts w:cstheme="minorHAnsi"/>
        </w:rPr>
        <w:t xml:space="preserve">, F. F. (2017). </w:t>
      </w:r>
      <w:proofErr w:type="spellStart"/>
      <w:r w:rsidRPr="00903AE3">
        <w:rPr>
          <w:rFonts w:cstheme="minorHAnsi"/>
        </w:rPr>
        <w:t>Incidence</w:t>
      </w:r>
      <w:proofErr w:type="spellEnd"/>
      <w:r w:rsidRPr="00903AE3">
        <w:rPr>
          <w:rFonts w:cstheme="minorHAnsi"/>
        </w:rPr>
        <w:t xml:space="preserve"> </w:t>
      </w:r>
      <w:proofErr w:type="spellStart"/>
      <w:r w:rsidRPr="00903AE3">
        <w:rPr>
          <w:rFonts w:cstheme="minorHAnsi"/>
        </w:rPr>
        <w:t>and</w:t>
      </w:r>
      <w:proofErr w:type="spellEnd"/>
      <w:r w:rsidRPr="00903AE3">
        <w:rPr>
          <w:rFonts w:cstheme="minorHAnsi"/>
        </w:rPr>
        <w:t xml:space="preserve"> </w:t>
      </w:r>
      <w:proofErr w:type="spellStart"/>
      <w:r w:rsidRPr="00903AE3">
        <w:rPr>
          <w:rFonts w:cstheme="minorHAnsi"/>
        </w:rPr>
        <w:t>risk</w:t>
      </w:r>
      <w:proofErr w:type="spellEnd"/>
      <w:r w:rsidRPr="00903AE3">
        <w:rPr>
          <w:rFonts w:cstheme="minorHAnsi"/>
        </w:rPr>
        <w:t xml:space="preserve"> </w:t>
      </w:r>
      <w:proofErr w:type="spellStart"/>
      <w:r w:rsidRPr="00903AE3">
        <w:rPr>
          <w:rFonts w:cstheme="minorHAnsi"/>
        </w:rPr>
        <w:t>factors</w:t>
      </w:r>
      <w:proofErr w:type="spellEnd"/>
      <w:r w:rsidRPr="00903AE3">
        <w:rPr>
          <w:rFonts w:cstheme="minorHAnsi"/>
        </w:rPr>
        <w:t xml:space="preserve"> for </w:t>
      </w:r>
      <w:proofErr w:type="spellStart"/>
      <w:r w:rsidRPr="00903AE3">
        <w:rPr>
          <w:rFonts w:cstheme="minorHAnsi"/>
        </w:rPr>
        <w:t>surgical</w:t>
      </w:r>
      <w:proofErr w:type="spellEnd"/>
      <w:r w:rsidRPr="00903AE3">
        <w:rPr>
          <w:rFonts w:cstheme="minorHAnsi"/>
        </w:rPr>
        <w:t xml:space="preserve"> site </w:t>
      </w:r>
      <w:proofErr w:type="spellStart"/>
      <w:r w:rsidRPr="00903AE3">
        <w:rPr>
          <w:rFonts w:cstheme="minorHAnsi"/>
        </w:rPr>
        <w:t>infection</w:t>
      </w:r>
      <w:proofErr w:type="spellEnd"/>
      <w:r w:rsidRPr="00903AE3">
        <w:rPr>
          <w:rFonts w:cstheme="minorHAnsi"/>
        </w:rPr>
        <w:t xml:space="preserve">. </w:t>
      </w:r>
      <w:r w:rsidRPr="00903AE3">
        <w:rPr>
          <w:rFonts w:cstheme="minorHAnsi"/>
          <w:i/>
          <w:iCs/>
        </w:rPr>
        <w:t>Revista Latino-Americana de Enfermagem, 25</w:t>
      </w:r>
      <w:r w:rsidRPr="00903AE3">
        <w:rPr>
          <w:rFonts w:cstheme="minorHAnsi"/>
        </w:rPr>
        <w:t xml:space="preserve">. </w:t>
      </w:r>
      <w:hyperlink r:id="rId25" w:history="1">
        <w:r w:rsidR="00D30959" w:rsidRPr="00903AE3">
          <w:rPr>
            <w:rStyle w:val="Hiperligao"/>
            <w:rFonts w:cstheme="minorHAnsi"/>
            <w:color w:val="auto"/>
          </w:rPr>
          <w:t>http://doi.org/10.1590/1518-8345.1502.2848</w:t>
        </w:r>
      </w:hyperlink>
    </w:p>
    <w:p w14:paraId="36ABE6E7" w14:textId="787EE5E7" w:rsidR="00E6475B" w:rsidRPr="00903AE3" w:rsidRDefault="00E6475B" w:rsidP="004E5C36">
      <w:pPr>
        <w:spacing w:after="120" w:line="240" w:lineRule="auto"/>
        <w:ind w:left="-170" w:right="-170"/>
        <w:jc w:val="both"/>
        <w:rPr>
          <w:rFonts w:cstheme="minorHAnsi"/>
        </w:rPr>
      </w:pPr>
      <w:r w:rsidRPr="00903AE3">
        <w:rPr>
          <w:rFonts w:cstheme="minorHAnsi"/>
        </w:rPr>
        <w:t xml:space="preserve">Coutinho, B. D., Ribeiro, A. D., Oliveira, S. M., Miranda, M. K., &amp; </w:t>
      </w:r>
      <w:proofErr w:type="spellStart"/>
      <w:r w:rsidRPr="00903AE3">
        <w:rPr>
          <w:rFonts w:cstheme="minorHAnsi"/>
        </w:rPr>
        <w:t>Gouvêa</w:t>
      </w:r>
      <w:proofErr w:type="spellEnd"/>
      <w:r w:rsidRPr="00903AE3">
        <w:rPr>
          <w:rFonts w:cstheme="minorHAnsi"/>
        </w:rPr>
        <w:t>-</w:t>
      </w:r>
      <w:proofErr w:type="spellStart"/>
      <w:r w:rsidRPr="00903AE3">
        <w:rPr>
          <w:rFonts w:cstheme="minorHAnsi"/>
        </w:rPr>
        <w:t>e-Silva</w:t>
      </w:r>
      <w:proofErr w:type="spellEnd"/>
      <w:r w:rsidRPr="00903AE3">
        <w:rPr>
          <w:rFonts w:cstheme="minorHAnsi"/>
        </w:rPr>
        <w:t xml:space="preserve">, L. F. (2022). </w:t>
      </w:r>
      <w:proofErr w:type="spellStart"/>
      <w:r w:rsidRPr="00903AE3">
        <w:rPr>
          <w:rFonts w:cstheme="minorHAnsi"/>
        </w:rPr>
        <w:t>Infecções</w:t>
      </w:r>
      <w:proofErr w:type="spellEnd"/>
      <w:r w:rsidRPr="00903AE3">
        <w:rPr>
          <w:rFonts w:cstheme="minorHAnsi"/>
        </w:rPr>
        <w:t xml:space="preserve"> de sítio cirúrgico em cirurgias ortopédicas de um hospital do estado do Pará, Brasil</w:t>
      </w:r>
      <w:r w:rsidRPr="00903AE3">
        <w:rPr>
          <w:rFonts w:cstheme="minorHAnsi"/>
          <w:i/>
          <w:iCs/>
        </w:rPr>
        <w:t xml:space="preserve">. </w:t>
      </w:r>
      <w:proofErr w:type="spellStart"/>
      <w:r w:rsidRPr="00903AE3">
        <w:rPr>
          <w:rFonts w:cstheme="minorHAnsi"/>
          <w:i/>
          <w:iCs/>
        </w:rPr>
        <w:t>Av</w:t>
      </w:r>
      <w:proofErr w:type="spellEnd"/>
      <w:r w:rsidRPr="00903AE3">
        <w:rPr>
          <w:rFonts w:cstheme="minorHAnsi"/>
          <w:i/>
          <w:iCs/>
        </w:rPr>
        <w:t xml:space="preserve"> </w:t>
      </w:r>
      <w:proofErr w:type="spellStart"/>
      <w:r w:rsidRPr="00903AE3">
        <w:rPr>
          <w:rFonts w:cstheme="minorHAnsi"/>
          <w:i/>
          <w:iCs/>
        </w:rPr>
        <w:t>Enferm</w:t>
      </w:r>
      <w:proofErr w:type="spellEnd"/>
      <w:r w:rsidRPr="00903AE3">
        <w:rPr>
          <w:rFonts w:cstheme="minorHAnsi"/>
          <w:i/>
          <w:iCs/>
        </w:rPr>
        <w:t>, 40</w:t>
      </w:r>
      <w:r w:rsidRPr="00903AE3">
        <w:rPr>
          <w:rFonts w:cstheme="minorHAnsi"/>
        </w:rPr>
        <w:t xml:space="preserve">(3). </w:t>
      </w:r>
      <w:hyperlink r:id="rId26" w:history="1">
        <w:r w:rsidR="00D30959" w:rsidRPr="00903AE3">
          <w:rPr>
            <w:rStyle w:val="Hiperligao"/>
            <w:rFonts w:cstheme="minorHAnsi"/>
            <w:color w:val="auto"/>
          </w:rPr>
          <w:t>http://doi.org/10.15446/av.enferm.v40n3.93397</w:t>
        </w:r>
      </w:hyperlink>
    </w:p>
    <w:p w14:paraId="35184850" w14:textId="315369CE" w:rsidR="000F7C54" w:rsidRPr="00903AE3" w:rsidRDefault="000F7C54" w:rsidP="004E5C36">
      <w:pPr>
        <w:spacing w:after="120" w:line="240" w:lineRule="auto"/>
        <w:ind w:left="-170" w:right="-170"/>
        <w:jc w:val="both"/>
        <w:rPr>
          <w:rFonts w:cstheme="minorHAnsi"/>
        </w:rPr>
      </w:pPr>
      <w:r w:rsidRPr="00903AE3">
        <w:rPr>
          <w:rFonts w:cstheme="minorHAnsi"/>
        </w:rPr>
        <w:t>Despacho n.º 9390/2021</w:t>
      </w:r>
      <w:r w:rsidR="00105385" w:rsidRPr="00903AE3">
        <w:rPr>
          <w:rFonts w:cstheme="minorHAnsi"/>
        </w:rPr>
        <w:t xml:space="preserve">, de </w:t>
      </w:r>
      <w:r w:rsidR="00423608" w:rsidRPr="00903AE3">
        <w:rPr>
          <w:rFonts w:cstheme="minorHAnsi"/>
        </w:rPr>
        <w:t xml:space="preserve">24 de setembro. </w:t>
      </w:r>
      <w:r w:rsidR="00766C41" w:rsidRPr="00903AE3">
        <w:rPr>
          <w:rFonts w:cstheme="minorHAnsi"/>
        </w:rPr>
        <w:t xml:space="preserve">Plano Nacional para a Segurança dos Doentes 2021-2026 (PNSD 2021-2026). </w:t>
      </w:r>
      <w:r w:rsidRPr="00903AE3">
        <w:rPr>
          <w:rFonts w:cstheme="minorHAnsi"/>
          <w:i/>
          <w:iCs/>
        </w:rPr>
        <w:t>Diário da República</w:t>
      </w:r>
      <w:r w:rsidR="00871496" w:rsidRPr="00903AE3">
        <w:rPr>
          <w:rFonts w:cstheme="minorHAnsi"/>
          <w:i/>
          <w:iCs/>
        </w:rPr>
        <w:t>, Série II</w:t>
      </w:r>
      <w:r w:rsidR="00E935D4" w:rsidRPr="00903AE3">
        <w:rPr>
          <w:rFonts w:cstheme="minorHAnsi"/>
          <w:i/>
          <w:iCs/>
        </w:rPr>
        <w:t xml:space="preserve"> </w:t>
      </w:r>
      <w:r w:rsidR="00871496" w:rsidRPr="00903AE3">
        <w:rPr>
          <w:rFonts w:cstheme="minorHAnsi"/>
          <w:i/>
          <w:iCs/>
        </w:rPr>
        <w:t>(</w:t>
      </w:r>
      <w:r w:rsidRPr="00903AE3">
        <w:rPr>
          <w:rFonts w:cstheme="minorHAnsi"/>
          <w:i/>
          <w:iCs/>
        </w:rPr>
        <w:t>187</w:t>
      </w:r>
      <w:r w:rsidR="00871496" w:rsidRPr="00903AE3">
        <w:rPr>
          <w:rFonts w:cstheme="minorHAnsi"/>
          <w:i/>
          <w:iCs/>
        </w:rPr>
        <w:t>)</w:t>
      </w:r>
      <w:r w:rsidR="00871496" w:rsidRPr="00903AE3">
        <w:rPr>
          <w:rFonts w:cstheme="minorHAnsi"/>
        </w:rPr>
        <w:t xml:space="preserve">. </w:t>
      </w:r>
      <w:hyperlink r:id="rId27" w:history="1">
        <w:r w:rsidR="00871496" w:rsidRPr="00903AE3">
          <w:rPr>
            <w:rStyle w:val="Hiperligao"/>
            <w:rFonts w:cstheme="minorHAnsi"/>
            <w:color w:val="auto"/>
          </w:rPr>
          <w:t>https://dre.pt/web/guest/pesquisa/-/search/171891094/details/maximized</w:t>
        </w:r>
      </w:hyperlink>
    </w:p>
    <w:p w14:paraId="62040A65" w14:textId="3654579B" w:rsidR="00E6475B" w:rsidRPr="00903AE3" w:rsidRDefault="00E6475B" w:rsidP="004E5C36">
      <w:pPr>
        <w:spacing w:after="120" w:line="240" w:lineRule="auto"/>
        <w:ind w:left="-170" w:right="-170"/>
        <w:jc w:val="both"/>
        <w:rPr>
          <w:rStyle w:val="Hiperligao"/>
          <w:rFonts w:cstheme="minorHAnsi"/>
          <w:color w:val="auto"/>
        </w:rPr>
      </w:pPr>
      <w:r w:rsidRPr="00903AE3">
        <w:rPr>
          <w:rFonts w:cstheme="minorHAnsi"/>
        </w:rPr>
        <w:t>Direção-Geral da Saúde</w:t>
      </w:r>
      <w:r w:rsidR="00D622B0" w:rsidRPr="00903AE3">
        <w:rPr>
          <w:rFonts w:cstheme="minorHAnsi"/>
        </w:rPr>
        <w:t>.</w:t>
      </w:r>
      <w:r w:rsidRPr="00903AE3">
        <w:rPr>
          <w:rFonts w:cstheme="minorHAnsi"/>
        </w:rPr>
        <w:t xml:space="preserve"> (2022</w:t>
      </w:r>
      <w:r w:rsidR="004036AE" w:rsidRPr="00903AE3">
        <w:rPr>
          <w:rFonts w:cstheme="minorHAnsi"/>
        </w:rPr>
        <w:t>a</w:t>
      </w:r>
      <w:r w:rsidRPr="00903AE3">
        <w:rPr>
          <w:rFonts w:cstheme="minorHAnsi"/>
        </w:rPr>
        <w:t xml:space="preserve">). </w:t>
      </w:r>
      <w:r w:rsidR="000411E7" w:rsidRPr="00903AE3">
        <w:rPr>
          <w:rFonts w:cstheme="minorHAnsi"/>
        </w:rPr>
        <w:t>Infeções e resistência a antimicrobianos</w:t>
      </w:r>
      <w:r w:rsidR="00314F16" w:rsidRPr="00903AE3">
        <w:rPr>
          <w:rFonts w:cstheme="minorHAnsi"/>
        </w:rPr>
        <w:t xml:space="preserve"> -</w:t>
      </w:r>
      <w:r w:rsidRPr="00903AE3">
        <w:rPr>
          <w:rFonts w:cstheme="minorHAnsi"/>
        </w:rPr>
        <w:t xml:space="preserve"> Relatório do Programa Prioritário PPCIRA 2021. </w:t>
      </w:r>
      <w:hyperlink r:id="rId28" w:history="1">
        <w:r w:rsidRPr="00903AE3">
          <w:rPr>
            <w:rStyle w:val="Hiperligao"/>
            <w:rFonts w:cstheme="minorHAnsi"/>
            <w:color w:val="auto"/>
          </w:rPr>
          <w:t>https://www.dgs.pt/programa-nacional-de-controlo-da-infeccao/relatorios/infecoes-e-resistencias-aos-antimicrobianos-2021-relatorio-anual-do-programa-prioritario-pdf.aspx</w:t>
        </w:r>
      </w:hyperlink>
    </w:p>
    <w:p w14:paraId="573C33B8" w14:textId="282EB349" w:rsidR="001E058F" w:rsidRPr="00903AE3" w:rsidRDefault="00650C28" w:rsidP="004E5C36">
      <w:pPr>
        <w:spacing w:after="120" w:line="240" w:lineRule="auto"/>
        <w:ind w:left="-170" w:right="-170"/>
        <w:jc w:val="both"/>
        <w:rPr>
          <w:rFonts w:cstheme="minorHAnsi"/>
        </w:rPr>
      </w:pPr>
      <w:r w:rsidRPr="00903AE3">
        <w:rPr>
          <w:rFonts w:cstheme="minorHAnsi"/>
        </w:rPr>
        <w:t>Direção-Geral da Saúde. (2022</w:t>
      </w:r>
      <w:r w:rsidR="004036AE" w:rsidRPr="00903AE3">
        <w:rPr>
          <w:rFonts w:cstheme="minorHAnsi"/>
        </w:rPr>
        <w:t>b</w:t>
      </w:r>
      <w:r w:rsidR="00BB489A" w:rsidRPr="00903AE3">
        <w:rPr>
          <w:rFonts w:cstheme="minorHAnsi"/>
        </w:rPr>
        <w:t>)</w:t>
      </w:r>
      <w:r w:rsidR="001E058F" w:rsidRPr="00903AE3">
        <w:rPr>
          <w:rFonts w:cstheme="minorHAnsi"/>
        </w:rPr>
        <w:t>.</w:t>
      </w:r>
      <w:r w:rsidR="00BB489A" w:rsidRPr="00903AE3">
        <w:rPr>
          <w:rFonts w:cstheme="minorHAnsi"/>
        </w:rPr>
        <w:t xml:space="preserve"> </w:t>
      </w:r>
      <w:r w:rsidR="00FD78F9" w:rsidRPr="00903AE3">
        <w:rPr>
          <w:rFonts w:cstheme="minorHAnsi"/>
          <w:i/>
          <w:iCs/>
        </w:rPr>
        <w:t>Norma clínica</w:t>
      </w:r>
      <w:r w:rsidR="00BB489A" w:rsidRPr="00903AE3">
        <w:rPr>
          <w:rFonts w:cstheme="minorHAnsi"/>
          <w:i/>
          <w:iCs/>
        </w:rPr>
        <w:t>: 020/2015 de 15/12/2015 atualizada a 17/11/2022</w:t>
      </w:r>
      <w:r w:rsidR="001E058F" w:rsidRPr="00903AE3">
        <w:rPr>
          <w:rFonts w:cstheme="minorHAnsi"/>
        </w:rPr>
        <w:t xml:space="preserve">. </w:t>
      </w:r>
      <w:r w:rsidR="007C6437" w:rsidRPr="00903AE3">
        <w:rPr>
          <w:rFonts w:cstheme="minorHAnsi"/>
        </w:rPr>
        <w:t>“Feixe de Intervenções” para a Prevenção da Infeção do Local Cirúrgico</w:t>
      </w:r>
      <w:r w:rsidR="001E058F" w:rsidRPr="00903AE3">
        <w:rPr>
          <w:rFonts w:cstheme="minorHAnsi"/>
        </w:rPr>
        <w:t xml:space="preserve">. </w:t>
      </w:r>
      <w:hyperlink r:id="rId29" w:history="1">
        <w:r w:rsidR="007C6437" w:rsidRPr="00903AE3">
          <w:rPr>
            <w:rStyle w:val="Hiperligao"/>
            <w:rFonts w:cstheme="minorHAnsi"/>
            <w:color w:val="auto"/>
          </w:rPr>
          <w:t>https://normas.dgs.min-saude.pt/wp-content/uploads/2015/12/norma_020_2015_atualizada_17_11_2022_prev_inf_local_cirurgico.pdf</w:t>
        </w:r>
      </w:hyperlink>
    </w:p>
    <w:p w14:paraId="60F431C0" w14:textId="238B652A" w:rsidR="00E6475B" w:rsidRPr="00903AE3" w:rsidRDefault="00E6475B" w:rsidP="004E5C36">
      <w:pPr>
        <w:spacing w:after="120" w:line="240" w:lineRule="auto"/>
        <w:ind w:left="-170" w:right="-170"/>
        <w:jc w:val="both"/>
        <w:rPr>
          <w:rFonts w:cstheme="minorHAnsi"/>
          <w:lang w:val="en-US"/>
        </w:rPr>
      </w:pPr>
      <w:r w:rsidRPr="00903AE3">
        <w:rPr>
          <w:rFonts w:cstheme="minorHAnsi"/>
          <w:lang w:val="en-US"/>
        </w:rPr>
        <w:t>European Center for Disease Prevention and Control</w:t>
      </w:r>
      <w:r w:rsidR="009258BF" w:rsidRPr="00903AE3">
        <w:rPr>
          <w:rFonts w:cstheme="minorHAnsi"/>
          <w:lang w:val="en-US"/>
        </w:rPr>
        <w:t>.</w:t>
      </w:r>
      <w:r w:rsidRPr="00903AE3">
        <w:rPr>
          <w:rFonts w:cstheme="minorHAnsi"/>
          <w:lang w:val="en-US"/>
        </w:rPr>
        <w:t xml:space="preserve"> (2019). </w:t>
      </w:r>
      <w:r w:rsidRPr="00903AE3">
        <w:rPr>
          <w:rFonts w:cstheme="minorHAnsi"/>
          <w:i/>
          <w:iCs/>
          <w:lang w:val="en-US"/>
        </w:rPr>
        <w:t>Healthcare-associated infections: surgical site infections. Annual Epidemiological Report for 2017</w:t>
      </w:r>
      <w:r w:rsidRPr="00903AE3">
        <w:rPr>
          <w:rFonts w:cstheme="minorHAnsi"/>
          <w:lang w:val="en-US"/>
        </w:rPr>
        <w:t xml:space="preserve">. </w:t>
      </w:r>
      <w:hyperlink r:id="rId30" w:history="1">
        <w:r w:rsidRPr="00903AE3">
          <w:rPr>
            <w:rStyle w:val="Hiperligao"/>
            <w:rFonts w:cstheme="minorHAnsi"/>
            <w:color w:val="auto"/>
            <w:lang w:val="en-US"/>
          </w:rPr>
          <w:t>https://www.ecdc.europa.eu/sites/default/files/documents/AER_for_2017-SSI.pdf</w:t>
        </w:r>
      </w:hyperlink>
    </w:p>
    <w:p w14:paraId="5E9DC0A2" w14:textId="483362F5" w:rsidR="00E6475B" w:rsidRPr="00903AE3" w:rsidRDefault="00E6475B" w:rsidP="004E5C36">
      <w:pPr>
        <w:spacing w:after="120" w:line="240" w:lineRule="auto"/>
        <w:ind w:left="-170" w:right="-170"/>
        <w:jc w:val="both"/>
        <w:rPr>
          <w:rFonts w:cstheme="minorHAnsi"/>
        </w:rPr>
      </w:pPr>
      <w:r w:rsidRPr="00903AE3">
        <w:rPr>
          <w:rFonts w:cstheme="minorHAnsi"/>
        </w:rPr>
        <w:t xml:space="preserve">Fernandes, D. A. (2022). </w:t>
      </w:r>
      <w:r w:rsidRPr="00903AE3">
        <w:rPr>
          <w:rFonts w:cstheme="minorHAnsi"/>
          <w:i/>
          <w:iCs/>
        </w:rPr>
        <w:t>Análise da Infeção do Local Cirúrgico em doentes submetidos a cirurgia ortopédica major</w:t>
      </w:r>
      <w:r w:rsidRPr="00903AE3">
        <w:rPr>
          <w:rFonts w:cstheme="minorHAnsi"/>
        </w:rPr>
        <w:t xml:space="preserve"> [Dissertação de Mestrado</w:t>
      </w:r>
      <w:r w:rsidR="00493CC9" w:rsidRPr="00903AE3">
        <w:rPr>
          <w:rFonts w:cstheme="minorHAnsi"/>
        </w:rPr>
        <w:t>,</w:t>
      </w:r>
      <w:r w:rsidR="00DE15ED" w:rsidRPr="00903AE3">
        <w:rPr>
          <w:rFonts w:cstheme="minorHAnsi"/>
        </w:rPr>
        <w:t xml:space="preserve"> </w:t>
      </w:r>
      <w:r w:rsidR="006B3A7C" w:rsidRPr="00903AE3">
        <w:rPr>
          <w:rFonts w:cstheme="minorHAnsi"/>
        </w:rPr>
        <w:t>IPB</w:t>
      </w:r>
      <w:r w:rsidR="00DE15ED" w:rsidRPr="00903AE3">
        <w:rPr>
          <w:rFonts w:cstheme="minorHAnsi"/>
        </w:rPr>
        <w:t xml:space="preserve"> - </w:t>
      </w:r>
      <w:r w:rsidRPr="00903AE3">
        <w:rPr>
          <w:rFonts w:cstheme="minorHAnsi"/>
        </w:rPr>
        <w:t>Instituto Politécnico de Bragança</w:t>
      </w:r>
      <w:r w:rsidR="00DE15ED" w:rsidRPr="00903AE3">
        <w:rPr>
          <w:rFonts w:cstheme="minorHAnsi"/>
        </w:rPr>
        <w:t xml:space="preserve">]. </w:t>
      </w:r>
      <w:r w:rsidR="006B3A7C" w:rsidRPr="00903AE3">
        <w:rPr>
          <w:rFonts w:cstheme="minorHAnsi"/>
        </w:rPr>
        <w:t xml:space="preserve">Biblioteca Digital do IPB. </w:t>
      </w:r>
      <w:hyperlink r:id="rId31" w:history="1">
        <w:r w:rsidR="00B40803" w:rsidRPr="00903AE3">
          <w:rPr>
            <w:rStyle w:val="Hiperligao"/>
            <w:rFonts w:cstheme="minorHAnsi"/>
            <w:color w:val="auto"/>
          </w:rPr>
          <w:t>http://hdl.handle.net/10198/26365</w:t>
        </w:r>
      </w:hyperlink>
    </w:p>
    <w:p w14:paraId="672630F2" w14:textId="77777777" w:rsidR="00E6475B" w:rsidRPr="00903AE3" w:rsidRDefault="00E6475B" w:rsidP="004E5C36">
      <w:pPr>
        <w:spacing w:after="120" w:line="240" w:lineRule="auto"/>
        <w:ind w:left="-170" w:right="-170"/>
        <w:jc w:val="both"/>
        <w:rPr>
          <w:rStyle w:val="Hiperligao"/>
          <w:rFonts w:cstheme="minorHAnsi"/>
          <w:color w:val="auto"/>
          <w:lang w:val="en-US"/>
        </w:rPr>
      </w:pPr>
      <w:r w:rsidRPr="00903AE3">
        <w:rPr>
          <w:rFonts w:cstheme="minorHAnsi"/>
        </w:rPr>
        <w:t xml:space="preserve">Filho, J. M., Pardinho, L. T., Avena, K. d., &amp; </w:t>
      </w:r>
      <w:proofErr w:type="spellStart"/>
      <w:r w:rsidRPr="00903AE3">
        <w:rPr>
          <w:rFonts w:cstheme="minorHAnsi"/>
        </w:rPr>
        <w:t>Felzemburgh</w:t>
      </w:r>
      <w:proofErr w:type="spellEnd"/>
      <w:r w:rsidRPr="00903AE3">
        <w:rPr>
          <w:rFonts w:cstheme="minorHAnsi"/>
        </w:rPr>
        <w:t xml:space="preserve">, V. A. (2021). Uso da cola de </w:t>
      </w:r>
      <w:proofErr w:type="spellStart"/>
      <w:r w:rsidRPr="00903AE3">
        <w:rPr>
          <w:rFonts w:cstheme="minorHAnsi"/>
        </w:rPr>
        <w:t>cianoacrilato</w:t>
      </w:r>
      <w:proofErr w:type="spellEnd"/>
      <w:r w:rsidRPr="00903AE3">
        <w:rPr>
          <w:rFonts w:cstheme="minorHAnsi"/>
        </w:rPr>
        <w:t xml:space="preserve"> como alternativa em procedimentos cirúrgicos: uma revisão integrativa. </w:t>
      </w:r>
      <w:r w:rsidRPr="00903AE3">
        <w:rPr>
          <w:rFonts w:cstheme="minorHAnsi"/>
          <w:i/>
          <w:iCs/>
          <w:lang w:val="en-US"/>
        </w:rPr>
        <w:t>Research, Society and Development, 10</w:t>
      </w:r>
      <w:r w:rsidRPr="00903AE3">
        <w:rPr>
          <w:rFonts w:cstheme="minorHAnsi"/>
          <w:lang w:val="en-US"/>
        </w:rPr>
        <w:t xml:space="preserve">(2). </w:t>
      </w:r>
      <w:hyperlink r:id="rId32" w:history="1">
        <w:r w:rsidRPr="00903AE3">
          <w:rPr>
            <w:rStyle w:val="Hiperligao"/>
            <w:rFonts w:cstheme="minorHAnsi"/>
            <w:color w:val="auto"/>
            <w:lang w:val="en-US"/>
          </w:rPr>
          <w:t>http://doi.org/10.33448/rsd-v10i2.12592</w:t>
        </w:r>
      </w:hyperlink>
    </w:p>
    <w:p w14:paraId="6E8C2809" w14:textId="3B095BD1" w:rsidR="00E6475B" w:rsidRPr="00903AE3" w:rsidRDefault="00E6475B" w:rsidP="004E5C36">
      <w:pPr>
        <w:spacing w:after="120" w:line="240" w:lineRule="auto"/>
        <w:ind w:left="-170" w:right="-170"/>
        <w:jc w:val="both"/>
        <w:rPr>
          <w:rFonts w:cstheme="minorHAnsi"/>
        </w:rPr>
      </w:pPr>
      <w:proofErr w:type="spellStart"/>
      <w:r w:rsidRPr="002E3994">
        <w:rPr>
          <w:rFonts w:cstheme="minorHAnsi"/>
          <w:lang w:val="en-US"/>
        </w:rPr>
        <w:t>Helito</w:t>
      </w:r>
      <w:proofErr w:type="spellEnd"/>
      <w:r w:rsidRPr="002E3994">
        <w:rPr>
          <w:rFonts w:cstheme="minorHAnsi"/>
          <w:lang w:val="en-US"/>
        </w:rPr>
        <w:t xml:space="preserve">, C. P., Sobrado, M. F., Giglio, P. N., Bonadio, M. B., </w:t>
      </w:r>
      <w:proofErr w:type="spellStart"/>
      <w:r w:rsidRPr="002E3994">
        <w:rPr>
          <w:rFonts w:cstheme="minorHAnsi"/>
          <w:lang w:val="en-US"/>
        </w:rPr>
        <w:t>Pécora</w:t>
      </w:r>
      <w:proofErr w:type="spellEnd"/>
      <w:r w:rsidRPr="002E3994">
        <w:rPr>
          <w:rFonts w:cstheme="minorHAnsi"/>
          <w:lang w:val="en-US"/>
        </w:rPr>
        <w:t xml:space="preserve">, J. R., </w:t>
      </w:r>
      <w:proofErr w:type="spellStart"/>
      <w:r w:rsidRPr="002E3994">
        <w:rPr>
          <w:rFonts w:cstheme="minorHAnsi"/>
          <w:lang w:val="en-US"/>
        </w:rPr>
        <w:t>Demage</w:t>
      </w:r>
      <w:proofErr w:type="spellEnd"/>
      <w:r w:rsidRPr="002E3994">
        <w:rPr>
          <w:rFonts w:cstheme="minorHAnsi"/>
          <w:lang w:val="en-US"/>
        </w:rPr>
        <w:t xml:space="preserve">, M. K., &amp; Gobbi, R. G. (2020). </w:t>
      </w:r>
      <w:r w:rsidRPr="00903AE3">
        <w:rPr>
          <w:rFonts w:cstheme="minorHAnsi"/>
          <w:lang w:val="en-US"/>
        </w:rPr>
        <w:t xml:space="preserve">The use of </w:t>
      </w:r>
      <w:proofErr w:type="gramStart"/>
      <w:r w:rsidRPr="00903AE3">
        <w:rPr>
          <w:rFonts w:cstheme="minorHAnsi"/>
          <w:lang w:val="en-US"/>
        </w:rPr>
        <w:t>negative-pressure</w:t>
      </w:r>
      <w:proofErr w:type="gramEnd"/>
      <w:r w:rsidRPr="00903AE3">
        <w:rPr>
          <w:rFonts w:cstheme="minorHAnsi"/>
          <w:lang w:val="en-US"/>
        </w:rPr>
        <w:t xml:space="preserve"> wound therapy after total knee arthroplasty is effective for reducing complications and the need for reintervention</w:t>
      </w:r>
      <w:r w:rsidRPr="00903AE3">
        <w:rPr>
          <w:rFonts w:cstheme="minorHAnsi"/>
          <w:i/>
          <w:iCs/>
          <w:lang w:val="en-US"/>
        </w:rPr>
        <w:t xml:space="preserve">. </w:t>
      </w:r>
      <w:r w:rsidRPr="00903AE3">
        <w:rPr>
          <w:rFonts w:cstheme="minorHAnsi"/>
          <w:i/>
          <w:iCs/>
        </w:rPr>
        <w:t xml:space="preserve">BMC </w:t>
      </w:r>
      <w:proofErr w:type="spellStart"/>
      <w:r w:rsidRPr="00903AE3">
        <w:rPr>
          <w:rFonts w:cstheme="minorHAnsi"/>
          <w:i/>
          <w:iCs/>
        </w:rPr>
        <w:t>Musculoskeletal</w:t>
      </w:r>
      <w:proofErr w:type="spellEnd"/>
      <w:r w:rsidRPr="00903AE3">
        <w:rPr>
          <w:rFonts w:cstheme="minorHAnsi"/>
          <w:i/>
          <w:iCs/>
        </w:rPr>
        <w:t xml:space="preserve"> </w:t>
      </w:r>
      <w:proofErr w:type="spellStart"/>
      <w:r w:rsidRPr="00903AE3">
        <w:rPr>
          <w:rFonts w:cstheme="minorHAnsi"/>
          <w:i/>
          <w:iCs/>
        </w:rPr>
        <w:t>Disorders</w:t>
      </w:r>
      <w:proofErr w:type="spellEnd"/>
      <w:r w:rsidRPr="00903AE3">
        <w:rPr>
          <w:rFonts w:cstheme="minorHAnsi"/>
          <w:i/>
          <w:iCs/>
        </w:rPr>
        <w:t>, 21</w:t>
      </w:r>
      <w:r w:rsidRPr="00903AE3">
        <w:rPr>
          <w:rFonts w:cstheme="minorHAnsi"/>
        </w:rPr>
        <w:t xml:space="preserve">(490), 2-8. </w:t>
      </w:r>
      <w:hyperlink r:id="rId33" w:history="1">
        <w:r w:rsidR="00A878A4" w:rsidRPr="00903AE3">
          <w:rPr>
            <w:rStyle w:val="Hiperligao"/>
            <w:rFonts w:cstheme="minorHAnsi"/>
            <w:color w:val="auto"/>
          </w:rPr>
          <w:t>http://doi.org/10.1186/s12891-020-03510-z</w:t>
        </w:r>
      </w:hyperlink>
    </w:p>
    <w:p w14:paraId="4042C890" w14:textId="40A7CB12" w:rsidR="00E6475B" w:rsidRPr="00903AE3" w:rsidRDefault="00E6475B" w:rsidP="004E5C36">
      <w:pPr>
        <w:spacing w:after="120" w:line="240" w:lineRule="auto"/>
        <w:ind w:left="-170" w:right="-170"/>
        <w:jc w:val="both"/>
      </w:pPr>
      <w:r w:rsidRPr="00903AE3">
        <w:rPr>
          <w:rFonts w:cstheme="minorHAnsi"/>
        </w:rPr>
        <w:t>Instituto Nacional de Estatística</w:t>
      </w:r>
      <w:r w:rsidR="00C72487" w:rsidRPr="00903AE3">
        <w:rPr>
          <w:rFonts w:cstheme="minorHAnsi"/>
        </w:rPr>
        <w:t>.</w:t>
      </w:r>
      <w:r w:rsidRPr="00903AE3">
        <w:rPr>
          <w:rFonts w:cstheme="minorHAnsi"/>
        </w:rPr>
        <w:t xml:space="preserve"> (2023</w:t>
      </w:r>
      <w:r w:rsidRPr="00903AE3">
        <w:rPr>
          <w:rFonts w:cstheme="minorHAnsi"/>
          <w:i/>
          <w:iCs/>
        </w:rPr>
        <w:t>). Estatísticas Demográficas - 2022</w:t>
      </w:r>
      <w:r w:rsidRPr="00903AE3">
        <w:rPr>
          <w:rFonts w:cstheme="minorHAnsi"/>
        </w:rPr>
        <w:t xml:space="preserve">. </w:t>
      </w:r>
      <w:hyperlink r:id="rId34" w:history="1">
        <w:r w:rsidR="00D6769E" w:rsidRPr="00903AE3">
          <w:rPr>
            <w:rStyle w:val="Hiperligao"/>
            <w:color w:val="auto"/>
          </w:rPr>
          <w:t>https://censos.ine.pt/xportal/xmain?xpid=INE&amp;xpgid=ine_publicacoes&amp;PUBLICACOESpub_boui=280978178&amp;PUBLICACOESmodo=2</w:t>
        </w:r>
      </w:hyperlink>
    </w:p>
    <w:p w14:paraId="4CDFE3F7" w14:textId="7D5A0329" w:rsidR="00E6475B" w:rsidRPr="00903AE3" w:rsidRDefault="00E6475B" w:rsidP="004E5C36">
      <w:pPr>
        <w:spacing w:after="120" w:line="240" w:lineRule="auto"/>
        <w:ind w:left="-170" w:right="-170"/>
        <w:jc w:val="both"/>
        <w:rPr>
          <w:rFonts w:cstheme="minorHAnsi"/>
          <w:lang w:val="en-US"/>
        </w:rPr>
      </w:pPr>
      <w:proofErr w:type="spellStart"/>
      <w:r w:rsidRPr="00903AE3">
        <w:rPr>
          <w:rFonts w:cstheme="minorHAnsi"/>
        </w:rPr>
        <w:t>Jadhav</w:t>
      </w:r>
      <w:proofErr w:type="spellEnd"/>
      <w:r w:rsidRPr="00903AE3">
        <w:rPr>
          <w:rFonts w:cstheme="minorHAnsi"/>
        </w:rPr>
        <w:t xml:space="preserve">, S., </w:t>
      </w:r>
      <w:proofErr w:type="spellStart"/>
      <w:r w:rsidRPr="00903AE3">
        <w:rPr>
          <w:rFonts w:cstheme="minorHAnsi"/>
        </w:rPr>
        <w:t>Dhaniwala</w:t>
      </w:r>
      <w:proofErr w:type="spellEnd"/>
      <w:r w:rsidRPr="00903AE3">
        <w:rPr>
          <w:rFonts w:cstheme="minorHAnsi"/>
        </w:rPr>
        <w:t xml:space="preserve">, N., </w:t>
      </w:r>
      <w:proofErr w:type="spellStart"/>
      <w:r w:rsidRPr="00903AE3">
        <w:rPr>
          <w:rFonts w:cstheme="minorHAnsi"/>
        </w:rPr>
        <w:t>Dudhekar</w:t>
      </w:r>
      <w:proofErr w:type="spellEnd"/>
      <w:r w:rsidRPr="00903AE3">
        <w:rPr>
          <w:rFonts w:cstheme="minorHAnsi"/>
        </w:rPr>
        <w:t xml:space="preserve">, U., </w:t>
      </w:r>
      <w:proofErr w:type="spellStart"/>
      <w:r w:rsidRPr="00903AE3">
        <w:rPr>
          <w:rFonts w:cstheme="minorHAnsi"/>
        </w:rPr>
        <w:t>Dadlani</w:t>
      </w:r>
      <w:proofErr w:type="spellEnd"/>
      <w:r w:rsidRPr="00903AE3">
        <w:rPr>
          <w:rFonts w:cstheme="minorHAnsi"/>
        </w:rPr>
        <w:t xml:space="preserve">, M., &amp; </w:t>
      </w:r>
      <w:proofErr w:type="spellStart"/>
      <w:r w:rsidRPr="00903AE3">
        <w:rPr>
          <w:rFonts w:cstheme="minorHAnsi"/>
        </w:rPr>
        <w:t>Awasthi</w:t>
      </w:r>
      <w:proofErr w:type="spellEnd"/>
      <w:r w:rsidRPr="00903AE3">
        <w:rPr>
          <w:rFonts w:cstheme="minorHAnsi"/>
        </w:rPr>
        <w:t xml:space="preserve">, A. (2023). </w:t>
      </w:r>
      <w:r w:rsidRPr="00903AE3">
        <w:rPr>
          <w:rFonts w:cstheme="minorHAnsi"/>
          <w:lang w:val="en-US"/>
        </w:rPr>
        <w:t xml:space="preserve">Spontaneous Osteonecrosis of Knee: A Case Report. </w:t>
      </w:r>
      <w:r w:rsidRPr="00903AE3">
        <w:rPr>
          <w:rFonts w:cstheme="minorHAnsi"/>
          <w:i/>
          <w:iCs/>
          <w:lang w:val="en-US"/>
        </w:rPr>
        <w:t>Cureus, 15(</w:t>
      </w:r>
      <w:r w:rsidRPr="00903AE3">
        <w:rPr>
          <w:rFonts w:cstheme="minorHAnsi"/>
          <w:lang w:val="en-US"/>
        </w:rPr>
        <w:t xml:space="preserve">9). </w:t>
      </w:r>
      <w:hyperlink r:id="rId35" w:history="1">
        <w:r w:rsidR="00A878A4" w:rsidRPr="00903AE3">
          <w:rPr>
            <w:rStyle w:val="Hiperligao"/>
            <w:rFonts w:cstheme="minorHAnsi"/>
            <w:color w:val="auto"/>
            <w:lang w:val="en-US"/>
          </w:rPr>
          <w:t>http://doi.org/10.7759/cureus.44587</w:t>
        </w:r>
      </w:hyperlink>
    </w:p>
    <w:p w14:paraId="748897F6" w14:textId="15CF6570" w:rsidR="00E6475B" w:rsidRPr="00903AE3" w:rsidRDefault="00E6475B" w:rsidP="004E5C36">
      <w:pPr>
        <w:spacing w:after="120" w:line="240" w:lineRule="auto"/>
        <w:ind w:left="-170" w:right="-170"/>
        <w:jc w:val="both"/>
        <w:rPr>
          <w:rFonts w:cstheme="minorHAnsi"/>
        </w:rPr>
      </w:pPr>
      <w:r w:rsidRPr="00903AE3">
        <w:rPr>
          <w:rFonts w:cstheme="minorHAnsi"/>
          <w:lang w:val="en-US"/>
        </w:rPr>
        <w:t xml:space="preserve">Ji, C., Zhu, Y., Liu, S., Li, J., Zhang, F., &amp; Chen, W. (2019). Incidence and risk of surgical site infection after adult femoral neck fractures treated by surgery. </w:t>
      </w:r>
      <w:r w:rsidRPr="00903AE3">
        <w:rPr>
          <w:rFonts w:cstheme="minorHAnsi"/>
          <w:i/>
          <w:iCs/>
        </w:rPr>
        <w:t xml:space="preserve">Medicine, </w:t>
      </w:r>
      <w:r w:rsidRPr="00903AE3">
        <w:rPr>
          <w:rFonts w:cstheme="minorHAnsi"/>
          <w:i/>
          <w:iCs/>
        </w:rPr>
        <w:lastRenderedPageBreak/>
        <w:t>98</w:t>
      </w:r>
      <w:r w:rsidRPr="00903AE3">
        <w:rPr>
          <w:rFonts w:cstheme="minorHAnsi"/>
        </w:rPr>
        <w:t xml:space="preserve">(11). </w:t>
      </w:r>
      <w:hyperlink r:id="rId36" w:history="1">
        <w:r w:rsidR="00A878A4" w:rsidRPr="00903AE3">
          <w:rPr>
            <w:rStyle w:val="Hiperligao"/>
            <w:rFonts w:cstheme="minorHAnsi"/>
            <w:color w:val="auto"/>
          </w:rPr>
          <w:t>http://doi.org/10.1097/md.0000000000014882</w:t>
        </w:r>
      </w:hyperlink>
    </w:p>
    <w:p w14:paraId="54C88AAA" w14:textId="3AE58D84" w:rsidR="00E6475B" w:rsidRPr="00903AE3" w:rsidRDefault="00E6475B" w:rsidP="004E5C36">
      <w:pPr>
        <w:spacing w:after="120" w:line="240" w:lineRule="auto"/>
        <w:ind w:left="-170" w:right="-170"/>
        <w:jc w:val="both"/>
        <w:rPr>
          <w:rFonts w:cstheme="minorHAnsi"/>
        </w:rPr>
      </w:pPr>
      <w:r w:rsidRPr="00903AE3">
        <w:rPr>
          <w:rFonts w:cstheme="minorHAnsi"/>
        </w:rPr>
        <w:t xml:space="preserve">Júnior, F. M., Oliveira, I. S., Correia, K. R., Machado, M. P., Quinteiro, J., &amp; Costa, R. S. (2021). Fatores de risco para infeção de sítio cirúrgico em pacientes ortopédicos. </w:t>
      </w:r>
      <w:r w:rsidRPr="00903AE3">
        <w:rPr>
          <w:rFonts w:cstheme="minorHAnsi"/>
          <w:i/>
          <w:iCs/>
        </w:rPr>
        <w:t>Revista Ciência Saúde, 6</w:t>
      </w:r>
      <w:r w:rsidRPr="00903AE3">
        <w:rPr>
          <w:rFonts w:cstheme="minorHAnsi"/>
        </w:rPr>
        <w:t xml:space="preserve">(3), 22-31. </w:t>
      </w:r>
      <w:hyperlink r:id="rId37" w:history="1">
        <w:r w:rsidR="00A878A4" w:rsidRPr="00903AE3">
          <w:rPr>
            <w:rStyle w:val="Hiperligao"/>
            <w:rFonts w:cstheme="minorHAnsi"/>
            <w:color w:val="auto"/>
          </w:rPr>
          <w:t>https://revistaeletronicafunvic.org/index.php/c14ffd10/article/view/278</w:t>
        </w:r>
      </w:hyperlink>
    </w:p>
    <w:p w14:paraId="3EF19228" w14:textId="79497C45" w:rsidR="00E6475B" w:rsidRPr="00903AE3" w:rsidRDefault="00E6475B" w:rsidP="004E5C36">
      <w:pPr>
        <w:spacing w:after="120" w:line="240" w:lineRule="auto"/>
        <w:ind w:left="-170" w:right="-170"/>
        <w:jc w:val="both"/>
        <w:rPr>
          <w:rFonts w:cstheme="minorHAnsi"/>
          <w:lang w:val="en-US"/>
        </w:rPr>
      </w:pPr>
      <w:r w:rsidRPr="00903AE3">
        <w:rPr>
          <w:rFonts w:cstheme="minorHAnsi"/>
          <w:lang w:val="en-US"/>
        </w:rPr>
        <w:t xml:space="preserve">Kaye, K. S., Schmit, K., Pieper, C., Sloane, R., Caughlan, K. F., Sexton, D. J., &amp; Schmader, K. E. (2005). The Effect of Increasing Age on the Risk of Surgical Site Infection. </w:t>
      </w:r>
      <w:r w:rsidRPr="00903AE3">
        <w:rPr>
          <w:rFonts w:cstheme="minorHAnsi"/>
          <w:i/>
          <w:iCs/>
          <w:lang w:val="en-US"/>
        </w:rPr>
        <w:t xml:space="preserve">The </w:t>
      </w:r>
      <w:proofErr w:type="spellStart"/>
      <w:r w:rsidRPr="00903AE3">
        <w:rPr>
          <w:rFonts w:cstheme="minorHAnsi"/>
          <w:i/>
          <w:iCs/>
          <w:lang w:val="en-US"/>
        </w:rPr>
        <w:t>Jounal</w:t>
      </w:r>
      <w:proofErr w:type="spellEnd"/>
      <w:r w:rsidRPr="00903AE3">
        <w:rPr>
          <w:rFonts w:cstheme="minorHAnsi"/>
          <w:i/>
          <w:iCs/>
          <w:lang w:val="en-US"/>
        </w:rPr>
        <w:t xml:space="preserve"> of Infectious Diseases, 191</w:t>
      </w:r>
      <w:r w:rsidRPr="00903AE3">
        <w:rPr>
          <w:rFonts w:cstheme="minorHAnsi"/>
          <w:lang w:val="en-US"/>
        </w:rPr>
        <w:t xml:space="preserve">(7), 1056-1062. </w:t>
      </w:r>
      <w:hyperlink r:id="rId38" w:history="1">
        <w:r w:rsidR="00A878A4" w:rsidRPr="00903AE3">
          <w:rPr>
            <w:rStyle w:val="Hiperligao"/>
            <w:rFonts w:cstheme="minorHAnsi"/>
            <w:color w:val="auto"/>
            <w:lang w:val="en-US"/>
          </w:rPr>
          <w:t>http://doi.org/10.1086/428626</w:t>
        </w:r>
      </w:hyperlink>
    </w:p>
    <w:p w14:paraId="0D79AC74" w14:textId="1BCA969B" w:rsidR="00E6475B" w:rsidRPr="00903AE3" w:rsidRDefault="00E6475B" w:rsidP="004E5C36">
      <w:pPr>
        <w:spacing w:after="120" w:line="240" w:lineRule="auto"/>
        <w:ind w:left="-170" w:right="-170"/>
        <w:jc w:val="both"/>
        <w:rPr>
          <w:rFonts w:cstheme="minorHAnsi"/>
          <w:lang w:val="en-US"/>
        </w:rPr>
      </w:pPr>
      <w:r w:rsidRPr="00903AE3">
        <w:rPr>
          <w:rFonts w:cstheme="minorHAnsi"/>
          <w:lang w:val="en-US"/>
        </w:rPr>
        <w:t xml:space="preserve">Knudsen, R. J., Knudsen, S. M., Nymark, T., </w:t>
      </w:r>
      <w:proofErr w:type="spellStart"/>
      <w:r w:rsidRPr="00903AE3">
        <w:rPr>
          <w:rFonts w:cstheme="minorHAnsi"/>
          <w:lang w:val="en-US"/>
        </w:rPr>
        <w:t>Anstensrud</w:t>
      </w:r>
      <w:proofErr w:type="spellEnd"/>
      <w:r w:rsidRPr="00903AE3">
        <w:rPr>
          <w:rFonts w:cstheme="minorHAnsi"/>
          <w:lang w:val="en-US"/>
        </w:rPr>
        <w:t xml:space="preserve">, T., Jensen, E. T., La Mia Malekzadeh, M. J., &amp; Overgaard, S. (2021). Laminar airflow decreases microbial air contamination compared with turbulent ventilated operating theatres during live total joint arthroplasty: a nationwide survey. </w:t>
      </w:r>
      <w:r w:rsidRPr="00903AE3">
        <w:rPr>
          <w:rFonts w:cstheme="minorHAnsi"/>
          <w:i/>
          <w:iCs/>
          <w:lang w:val="en-US"/>
        </w:rPr>
        <w:t xml:space="preserve">The Journal of </w:t>
      </w:r>
      <w:r w:rsidR="005551F2" w:rsidRPr="00903AE3">
        <w:rPr>
          <w:rFonts w:cstheme="minorHAnsi"/>
          <w:i/>
          <w:iCs/>
          <w:lang w:val="en-US"/>
        </w:rPr>
        <w:t>H</w:t>
      </w:r>
      <w:r w:rsidRPr="00903AE3">
        <w:rPr>
          <w:rFonts w:cstheme="minorHAnsi"/>
          <w:i/>
          <w:iCs/>
          <w:lang w:val="en-US"/>
        </w:rPr>
        <w:t xml:space="preserve">ospital </w:t>
      </w:r>
      <w:r w:rsidR="005551F2" w:rsidRPr="00903AE3">
        <w:rPr>
          <w:rFonts w:cstheme="minorHAnsi"/>
          <w:i/>
          <w:iCs/>
          <w:lang w:val="en-US"/>
        </w:rPr>
        <w:t>I</w:t>
      </w:r>
      <w:r w:rsidRPr="00903AE3">
        <w:rPr>
          <w:rFonts w:cstheme="minorHAnsi"/>
          <w:i/>
          <w:iCs/>
          <w:lang w:val="en-US"/>
        </w:rPr>
        <w:t>nfection</w:t>
      </w:r>
      <w:r w:rsidR="00241EBC" w:rsidRPr="00903AE3">
        <w:rPr>
          <w:rFonts w:cstheme="minorHAnsi"/>
          <w:i/>
          <w:iCs/>
          <w:lang w:val="en-US"/>
        </w:rPr>
        <w:t xml:space="preserve">, </w:t>
      </w:r>
      <w:r w:rsidRPr="00903AE3">
        <w:rPr>
          <w:rFonts w:cstheme="minorHAnsi"/>
          <w:i/>
          <w:iCs/>
          <w:lang w:val="en-US"/>
        </w:rPr>
        <w:t>113</w:t>
      </w:r>
      <w:r w:rsidRPr="00903AE3">
        <w:rPr>
          <w:rFonts w:cstheme="minorHAnsi"/>
          <w:lang w:val="en-US"/>
        </w:rPr>
        <w:t xml:space="preserve">, 65-70. </w:t>
      </w:r>
      <w:hyperlink r:id="rId39" w:history="1">
        <w:r w:rsidR="00D71452" w:rsidRPr="00903AE3">
          <w:rPr>
            <w:rStyle w:val="Hiperligao"/>
            <w:rFonts w:cstheme="minorHAnsi"/>
            <w:color w:val="auto"/>
            <w:lang w:val="en-US"/>
          </w:rPr>
          <w:t>http://doi.org/10.1016/j.jhin.2021.04.019</w:t>
        </w:r>
      </w:hyperlink>
    </w:p>
    <w:p w14:paraId="629FA833" w14:textId="2611AB98" w:rsidR="00E6475B" w:rsidRPr="00903AE3" w:rsidRDefault="00E6475B" w:rsidP="004E5C36">
      <w:pPr>
        <w:spacing w:after="120" w:line="240" w:lineRule="auto"/>
        <w:ind w:left="-170" w:right="-170"/>
        <w:jc w:val="both"/>
        <w:rPr>
          <w:rFonts w:cstheme="minorHAnsi"/>
          <w:lang w:val="en-US"/>
        </w:rPr>
      </w:pPr>
      <w:r w:rsidRPr="00903AE3">
        <w:rPr>
          <w:rFonts w:cstheme="minorHAnsi"/>
          <w:lang w:val="en-US"/>
        </w:rPr>
        <w:t xml:space="preserve">Kong, L., Cao, J., Zhang, Y., &amp; Ding, W. Y. (2016). Risk factors for periprosthetic joint infection following primary total hip or knee arthroplasty: a meta-analysis. </w:t>
      </w:r>
      <w:r w:rsidRPr="00903AE3">
        <w:rPr>
          <w:rFonts w:cstheme="minorHAnsi"/>
          <w:i/>
          <w:iCs/>
          <w:lang w:val="en-US"/>
        </w:rPr>
        <w:t>International Wound Journal, 14</w:t>
      </w:r>
      <w:r w:rsidRPr="00903AE3">
        <w:rPr>
          <w:rFonts w:cstheme="minorHAnsi"/>
          <w:lang w:val="en-US"/>
        </w:rPr>
        <w:t xml:space="preserve">(3), 529-526. </w:t>
      </w:r>
      <w:hyperlink r:id="rId40" w:history="1">
        <w:r w:rsidR="00D71452" w:rsidRPr="00903AE3">
          <w:rPr>
            <w:rStyle w:val="Hiperligao"/>
            <w:rFonts w:cstheme="minorHAnsi"/>
            <w:color w:val="auto"/>
            <w:lang w:val="en-US"/>
          </w:rPr>
          <w:t>http://doi.org/10.1111/iwj.12640</w:t>
        </w:r>
      </w:hyperlink>
    </w:p>
    <w:p w14:paraId="5894D473" w14:textId="139C5D4B" w:rsidR="00E6475B" w:rsidRPr="00903AE3" w:rsidRDefault="00E6475B" w:rsidP="004E5C36">
      <w:pPr>
        <w:spacing w:after="120" w:line="240" w:lineRule="auto"/>
        <w:ind w:left="-170" w:right="-170"/>
        <w:jc w:val="both"/>
        <w:rPr>
          <w:rFonts w:cstheme="minorHAnsi"/>
          <w:lang w:val="en-US"/>
        </w:rPr>
      </w:pPr>
      <w:proofErr w:type="spellStart"/>
      <w:r w:rsidRPr="00903AE3">
        <w:rPr>
          <w:rFonts w:cstheme="minorHAnsi"/>
          <w:lang w:val="en-US"/>
        </w:rPr>
        <w:t>Latremoliere</w:t>
      </w:r>
      <w:proofErr w:type="spellEnd"/>
      <w:r w:rsidRPr="00903AE3">
        <w:rPr>
          <w:rFonts w:cstheme="minorHAnsi"/>
          <w:lang w:val="en-US"/>
        </w:rPr>
        <w:t xml:space="preserve">, A., &amp; Woolf, C. J. (2009). Central </w:t>
      </w:r>
      <w:r w:rsidR="00644588" w:rsidRPr="00903AE3">
        <w:rPr>
          <w:rFonts w:cstheme="minorHAnsi"/>
          <w:lang w:val="en-US"/>
        </w:rPr>
        <w:t>s</w:t>
      </w:r>
      <w:r w:rsidRPr="00903AE3">
        <w:rPr>
          <w:rFonts w:cstheme="minorHAnsi"/>
          <w:lang w:val="en-US"/>
        </w:rPr>
        <w:t xml:space="preserve">ensitization: </w:t>
      </w:r>
      <w:r w:rsidR="00644588" w:rsidRPr="00903AE3">
        <w:rPr>
          <w:rFonts w:cstheme="minorHAnsi"/>
          <w:lang w:val="en-US"/>
        </w:rPr>
        <w:t>a generator of pain hypersensitivity by central neural plasticity</w:t>
      </w:r>
      <w:r w:rsidRPr="00903AE3">
        <w:rPr>
          <w:rFonts w:cstheme="minorHAnsi"/>
          <w:lang w:val="en-US"/>
        </w:rPr>
        <w:t xml:space="preserve">. </w:t>
      </w:r>
      <w:r w:rsidRPr="00903AE3">
        <w:rPr>
          <w:rFonts w:cstheme="minorHAnsi"/>
          <w:i/>
          <w:iCs/>
          <w:lang w:val="en-US"/>
        </w:rPr>
        <w:t>The Journal of Pain, 10</w:t>
      </w:r>
      <w:r w:rsidRPr="00903AE3">
        <w:rPr>
          <w:rFonts w:cstheme="minorHAnsi"/>
          <w:lang w:val="en-US"/>
        </w:rPr>
        <w:t xml:space="preserve">(9), 895-926. </w:t>
      </w:r>
      <w:hyperlink r:id="rId41" w:history="1">
        <w:r w:rsidR="00D71452" w:rsidRPr="00903AE3">
          <w:rPr>
            <w:rStyle w:val="Hiperligao"/>
            <w:rFonts w:cstheme="minorHAnsi"/>
            <w:color w:val="auto"/>
            <w:lang w:val="en-US"/>
          </w:rPr>
          <w:t>http://doi.org/10.1016/j.jpain.2009.06.012</w:t>
        </w:r>
      </w:hyperlink>
    </w:p>
    <w:p w14:paraId="77560D7B" w14:textId="445C277B" w:rsidR="00E6475B" w:rsidRPr="00903AE3" w:rsidRDefault="00E6475B" w:rsidP="004E5C36">
      <w:pPr>
        <w:spacing w:after="120" w:line="240" w:lineRule="auto"/>
        <w:ind w:left="-170" w:right="-170"/>
        <w:jc w:val="both"/>
        <w:rPr>
          <w:rFonts w:cstheme="minorHAnsi"/>
        </w:rPr>
      </w:pPr>
      <w:r w:rsidRPr="002E3994">
        <w:rPr>
          <w:rFonts w:cstheme="minorHAnsi"/>
          <w:lang w:val="en-US"/>
        </w:rPr>
        <w:t xml:space="preserve">Martins, M. D. S., &amp; Fernandes, A. C. P. (2019). </w:t>
      </w:r>
      <w:r w:rsidRPr="00903AE3">
        <w:rPr>
          <w:rFonts w:cstheme="minorHAnsi"/>
          <w:lang w:val="en-US"/>
        </w:rPr>
        <w:t xml:space="preserve">Implementation of bundles in preventing infection after total hip arthroplasty. </w:t>
      </w:r>
      <w:r w:rsidRPr="00903AE3">
        <w:rPr>
          <w:rFonts w:cstheme="minorHAnsi"/>
          <w:i/>
          <w:iCs/>
        </w:rPr>
        <w:t xml:space="preserve">Revista de Enfermagem Referência, </w:t>
      </w:r>
      <w:proofErr w:type="gramStart"/>
      <w:r w:rsidRPr="00903AE3">
        <w:rPr>
          <w:rFonts w:cstheme="minorHAnsi"/>
          <w:i/>
          <w:iCs/>
        </w:rPr>
        <w:t>IV</w:t>
      </w:r>
      <w:r w:rsidRPr="00903AE3">
        <w:rPr>
          <w:rFonts w:cstheme="minorHAnsi"/>
        </w:rPr>
        <w:t>(</w:t>
      </w:r>
      <w:proofErr w:type="gramEnd"/>
      <w:r w:rsidRPr="00903AE3">
        <w:rPr>
          <w:rFonts w:cstheme="minorHAnsi"/>
        </w:rPr>
        <w:t xml:space="preserve">21), 101-108. </w:t>
      </w:r>
      <w:hyperlink r:id="rId42" w:history="1">
        <w:r w:rsidR="00D71452" w:rsidRPr="00903AE3">
          <w:rPr>
            <w:rStyle w:val="Hiperligao"/>
            <w:rFonts w:cstheme="minorHAnsi"/>
            <w:color w:val="auto"/>
          </w:rPr>
          <w:t>http://doi.org/10.12707/RIV18051</w:t>
        </w:r>
      </w:hyperlink>
    </w:p>
    <w:p w14:paraId="13610682" w14:textId="75146011" w:rsidR="00E6475B" w:rsidRPr="00903AE3" w:rsidRDefault="00E6475B" w:rsidP="004E5C36">
      <w:pPr>
        <w:spacing w:after="120" w:line="240" w:lineRule="auto"/>
        <w:ind w:left="-170" w:right="-170"/>
        <w:jc w:val="both"/>
        <w:rPr>
          <w:u w:val="single"/>
        </w:rPr>
      </w:pPr>
      <w:r w:rsidRPr="00903AE3">
        <w:rPr>
          <w:rFonts w:cstheme="minorHAnsi"/>
        </w:rPr>
        <w:t xml:space="preserve">Nunes, T. F. (2014). </w:t>
      </w:r>
      <w:r w:rsidR="00644588" w:rsidRPr="00903AE3">
        <w:rPr>
          <w:rFonts w:cstheme="minorHAnsi"/>
          <w:i/>
          <w:iCs/>
        </w:rPr>
        <w:t xml:space="preserve">Distúrbios da </w:t>
      </w:r>
      <w:proofErr w:type="spellStart"/>
      <w:r w:rsidR="00644588" w:rsidRPr="00903AE3">
        <w:rPr>
          <w:rFonts w:cstheme="minorHAnsi"/>
          <w:i/>
          <w:iCs/>
        </w:rPr>
        <w:t>hemostase</w:t>
      </w:r>
      <w:proofErr w:type="spellEnd"/>
      <w:r w:rsidR="00644588" w:rsidRPr="00903AE3">
        <w:rPr>
          <w:rFonts w:cstheme="minorHAnsi"/>
          <w:i/>
          <w:iCs/>
        </w:rPr>
        <w:t xml:space="preserve"> no doente cirrótico</w:t>
      </w:r>
      <w:r w:rsidRPr="00903AE3">
        <w:rPr>
          <w:rFonts w:cstheme="minorHAnsi"/>
        </w:rPr>
        <w:t>. [Dissertação de Mestrado</w:t>
      </w:r>
      <w:r w:rsidR="00B427B8" w:rsidRPr="00903AE3">
        <w:rPr>
          <w:rFonts w:cstheme="minorHAnsi"/>
        </w:rPr>
        <w:t>, U</w:t>
      </w:r>
      <w:r w:rsidR="001E6584" w:rsidRPr="00903AE3">
        <w:rPr>
          <w:rFonts w:cstheme="minorHAnsi"/>
        </w:rPr>
        <w:t>niversidade do Porto</w:t>
      </w:r>
      <w:r w:rsidRPr="00903AE3">
        <w:rPr>
          <w:rFonts w:cstheme="minorHAnsi"/>
        </w:rPr>
        <w:t xml:space="preserve">]. </w:t>
      </w:r>
      <w:r w:rsidR="001E6584" w:rsidRPr="00903AE3">
        <w:rPr>
          <w:rFonts w:cstheme="minorHAnsi"/>
        </w:rPr>
        <w:t>Repositório Aberto da Universidade do Porto.</w:t>
      </w:r>
      <w:r w:rsidR="00A150C8" w:rsidRPr="00903AE3">
        <w:rPr>
          <w:rFonts w:cstheme="minorHAnsi"/>
        </w:rPr>
        <w:t xml:space="preserve"> </w:t>
      </w:r>
      <w:hyperlink r:id="rId43" w:history="1">
        <w:r w:rsidR="006E5E17" w:rsidRPr="00903AE3">
          <w:rPr>
            <w:rStyle w:val="Hiperligao"/>
            <w:color w:val="auto"/>
          </w:rPr>
          <w:t>https://hdl.handle.net/10216/76726</w:t>
        </w:r>
      </w:hyperlink>
    </w:p>
    <w:p w14:paraId="0FF78F2D" w14:textId="6EE4C918" w:rsidR="00E6475B" w:rsidRPr="00903AE3" w:rsidRDefault="00E6475B" w:rsidP="004E5C36">
      <w:pPr>
        <w:spacing w:after="120" w:line="240" w:lineRule="auto"/>
        <w:ind w:left="-170" w:right="-170"/>
        <w:jc w:val="both"/>
        <w:rPr>
          <w:rFonts w:cstheme="minorHAnsi"/>
        </w:rPr>
      </w:pPr>
      <w:r w:rsidRPr="00903AE3">
        <w:rPr>
          <w:rFonts w:cstheme="minorHAnsi"/>
        </w:rPr>
        <w:t xml:space="preserve">Oliveira. F., Costa, L., Bastos, A., Paião, I., </w:t>
      </w:r>
      <w:proofErr w:type="spellStart"/>
      <w:r w:rsidRPr="00903AE3">
        <w:rPr>
          <w:rFonts w:cstheme="minorHAnsi"/>
        </w:rPr>
        <w:t>Ferretti</w:t>
      </w:r>
      <w:proofErr w:type="spellEnd"/>
      <w:r w:rsidRPr="00903AE3">
        <w:rPr>
          <w:rFonts w:cstheme="minorHAnsi"/>
        </w:rPr>
        <w:t xml:space="preserve">, M. &amp; </w:t>
      </w:r>
      <w:proofErr w:type="spellStart"/>
      <w:r w:rsidRPr="00903AE3">
        <w:rPr>
          <w:rFonts w:cstheme="minorHAnsi"/>
        </w:rPr>
        <w:t>Lenza</w:t>
      </w:r>
      <w:proofErr w:type="spellEnd"/>
      <w:r w:rsidRPr="00903AE3">
        <w:rPr>
          <w:rFonts w:cstheme="minorHAnsi"/>
        </w:rPr>
        <w:t xml:space="preserve">, M. (2023). Avaliação dos fatores de risco relacionados ao tempo de internação e às complicações pós-operatórias em pacientes submetidos a </w:t>
      </w:r>
      <w:proofErr w:type="spellStart"/>
      <w:r w:rsidRPr="00903AE3">
        <w:rPr>
          <w:rFonts w:cstheme="minorHAnsi"/>
        </w:rPr>
        <w:t>artroplastia</w:t>
      </w:r>
      <w:proofErr w:type="spellEnd"/>
      <w:r w:rsidRPr="00903AE3">
        <w:rPr>
          <w:rFonts w:cstheme="minorHAnsi"/>
        </w:rPr>
        <w:t xml:space="preserve"> total primária do joelho. </w:t>
      </w:r>
      <w:r w:rsidRPr="00903AE3">
        <w:rPr>
          <w:rFonts w:cstheme="minorHAnsi"/>
          <w:i/>
          <w:iCs/>
        </w:rPr>
        <w:t>Revista Brasileira Ortopedia, 58</w:t>
      </w:r>
      <w:r w:rsidRPr="00903AE3">
        <w:rPr>
          <w:rFonts w:cstheme="minorHAnsi"/>
        </w:rPr>
        <w:t xml:space="preserve">(3), 435-442. </w:t>
      </w:r>
      <w:hyperlink r:id="rId44" w:history="1">
        <w:r w:rsidR="00A878A4" w:rsidRPr="00903AE3">
          <w:rPr>
            <w:rStyle w:val="Hiperligao"/>
            <w:rFonts w:cstheme="minorHAnsi"/>
            <w:color w:val="auto"/>
          </w:rPr>
          <w:t>http://doi.org/10.1055/s-0042-1753534</w:t>
        </w:r>
      </w:hyperlink>
    </w:p>
    <w:p w14:paraId="3C25FA1B" w14:textId="7E6434C9" w:rsidR="00E6475B" w:rsidRPr="00903AE3" w:rsidRDefault="00E6475B" w:rsidP="004E5C36">
      <w:pPr>
        <w:spacing w:after="120" w:line="240" w:lineRule="auto"/>
        <w:ind w:left="-170" w:right="-170"/>
        <w:jc w:val="both"/>
        <w:rPr>
          <w:rFonts w:cstheme="minorHAnsi"/>
          <w:lang w:val="en-US"/>
        </w:rPr>
      </w:pPr>
      <w:proofErr w:type="spellStart"/>
      <w:r w:rsidRPr="00903AE3">
        <w:rPr>
          <w:rFonts w:cstheme="minorHAnsi"/>
        </w:rPr>
        <w:t>Peters</w:t>
      </w:r>
      <w:proofErr w:type="spellEnd"/>
      <w:r w:rsidRPr="00903AE3">
        <w:rPr>
          <w:rFonts w:cstheme="minorHAnsi"/>
        </w:rPr>
        <w:t xml:space="preserve">, M. D., </w:t>
      </w:r>
      <w:proofErr w:type="spellStart"/>
      <w:r w:rsidRPr="00903AE3">
        <w:rPr>
          <w:rFonts w:cstheme="minorHAnsi"/>
        </w:rPr>
        <w:t>Godfrey</w:t>
      </w:r>
      <w:proofErr w:type="spellEnd"/>
      <w:r w:rsidRPr="00903AE3">
        <w:rPr>
          <w:rFonts w:cstheme="minorHAnsi"/>
        </w:rPr>
        <w:t xml:space="preserve">, C., </w:t>
      </w:r>
      <w:proofErr w:type="spellStart"/>
      <w:r w:rsidRPr="00903AE3">
        <w:rPr>
          <w:rFonts w:cstheme="minorHAnsi"/>
        </w:rPr>
        <w:t>McInerney</w:t>
      </w:r>
      <w:proofErr w:type="spellEnd"/>
      <w:r w:rsidRPr="00903AE3">
        <w:rPr>
          <w:rFonts w:cstheme="minorHAnsi"/>
        </w:rPr>
        <w:t xml:space="preserve">, P., </w:t>
      </w:r>
      <w:proofErr w:type="spellStart"/>
      <w:r w:rsidRPr="00903AE3">
        <w:rPr>
          <w:rFonts w:cstheme="minorHAnsi"/>
        </w:rPr>
        <w:t>Khalil</w:t>
      </w:r>
      <w:proofErr w:type="spellEnd"/>
      <w:r w:rsidRPr="00903AE3">
        <w:rPr>
          <w:rFonts w:cstheme="minorHAnsi"/>
        </w:rPr>
        <w:t xml:space="preserve">, H., Larsen, P., </w:t>
      </w:r>
      <w:proofErr w:type="spellStart"/>
      <w:r w:rsidRPr="00903AE3">
        <w:rPr>
          <w:rFonts w:cstheme="minorHAnsi"/>
        </w:rPr>
        <w:t>Marnie</w:t>
      </w:r>
      <w:proofErr w:type="spellEnd"/>
      <w:r w:rsidRPr="00903AE3">
        <w:rPr>
          <w:rFonts w:cstheme="minorHAnsi"/>
        </w:rPr>
        <w:t xml:space="preserve">, C., </w:t>
      </w:r>
      <w:proofErr w:type="spellStart"/>
      <w:r w:rsidRPr="00903AE3">
        <w:rPr>
          <w:rFonts w:cstheme="minorHAnsi"/>
        </w:rPr>
        <w:t>Pollock</w:t>
      </w:r>
      <w:proofErr w:type="spellEnd"/>
      <w:r w:rsidRPr="00903AE3">
        <w:rPr>
          <w:rFonts w:cstheme="minorHAnsi"/>
        </w:rPr>
        <w:t xml:space="preserve">, D., </w:t>
      </w:r>
      <w:proofErr w:type="spellStart"/>
      <w:r w:rsidRPr="00903AE3">
        <w:rPr>
          <w:rFonts w:cstheme="minorHAnsi"/>
        </w:rPr>
        <w:t>Tricco</w:t>
      </w:r>
      <w:proofErr w:type="spellEnd"/>
      <w:r w:rsidRPr="00903AE3">
        <w:rPr>
          <w:rFonts w:cstheme="minorHAnsi"/>
        </w:rPr>
        <w:t xml:space="preserve">, A. C., &amp; </w:t>
      </w:r>
      <w:proofErr w:type="spellStart"/>
      <w:r w:rsidRPr="00903AE3">
        <w:rPr>
          <w:rFonts w:cstheme="minorHAnsi"/>
        </w:rPr>
        <w:t>Munn</w:t>
      </w:r>
      <w:proofErr w:type="spellEnd"/>
      <w:r w:rsidRPr="00903AE3">
        <w:rPr>
          <w:rFonts w:cstheme="minorHAnsi"/>
        </w:rPr>
        <w:t xml:space="preserve">, Z. (2020). </w:t>
      </w:r>
      <w:r w:rsidRPr="00903AE3">
        <w:rPr>
          <w:rFonts w:cstheme="minorHAnsi"/>
          <w:lang w:val="en-US"/>
        </w:rPr>
        <w:t xml:space="preserve">Best practice guidance and reporting items </w:t>
      </w:r>
      <w:r w:rsidRPr="00903AE3">
        <w:rPr>
          <w:rFonts w:cstheme="minorHAnsi"/>
          <w:lang w:val="en-US"/>
        </w:rPr>
        <w:t xml:space="preserve">for the development of scoping review protocols. </w:t>
      </w:r>
      <w:r w:rsidRPr="00903AE3">
        <w:rPr>
          <w:rFonts w:cstheme="minorHAnsi"/>
          <w:i/>
          <w:iCs/>
          <w:lang w:val="en-US"/>
        </w:rPr>
        <w:t>JBI Evidence Synthesis, 20</w:t>
      </w:r>
      <w:r w:rsidRPr="00903AE3">
        <w:rPr>
          <w:rFonts w:cstheme="minorHAnsi"/>
          <w:lang w:val="en-US"/>
        </w:rPr>
        <w:t xml:space="preserve">(4), 953-968. </w:t>
      </w:r>
      <w:hyperlink r:id="rId45" w:history="1">
        <w:r w:rsidR="00A878A4" w:rsidRPr="00903AE3">
          <w:rPr>
            <w:rStyle w:val="Hiperligao"/>
            <w:rFonts w:cstheme="minorHAnsi"/>
            <w:color w:val="auto"/>
            <w:lang w:val="en-US"/>
          </w:rPr>
          <w:t>http://doi.org/10.11124/JBIES-21-00242</w:t>
        </w:r>
      </w:hyperlink>
    </w:p>
    <w:p w14:paraId="6A1CD3B4" w14:textId="4711C927" w:rsidR="00E6475B" w:rsidRPr="00903AE3" w:rsidRDefault="00E6475B" w:rsidP="004E5C36">
      <w:pPr>
        <w:spacing w:after="120" w:line="240" w:lineRule="auto"/>
        <w:ind w:left="-170" w:right="-170"/>
        <w:jc w:val="both"/>
        <w:rPr>
          <w:rFonts w:cstheme="minorHAnsi"/>
          <w:shd w:val="clear" w:color="auto" w:fill="FFFFFF"/>
          <w:lang w:val="en-US"/>
        </w:rPr>
      </w:pPr>
      <w:r w:rsidRPr="00903AE3">
        <w:rPr>
          <w:rFonts w:cstheme="minorHAnsi"/>
          <w:lang w:val="en-US"/>
        </w:rPr>
        <w:t xml:space="preserve">Pitocco, D., </w:t>
      </w:r>
      <w:proofErr w:type="spellStart"/>
      <w:r w:rsidRPr="00903AE3">
        <w:rPr>
          <w:rFonts w:cstheme="minorHAnsi"/>
          <w:lang w:val="en-US"/>
        </w:rPr>
        <w:t>Spanu</w:t>
      </w:r>
      <w:proofErr w:type="spellEnd"/>
      <w:r w:rsidRPr="00903AE3">
        <w:rPr>
          <w:rFonts w:cstheme="minorHAnsi"/>
          <w:lang w:val="en-US"/>
        </w:rPr>
        <w:t xml:space="preserve">, T, Leo, M., Vitiello, R., Rizzi, A., Tartaglione, L., Fiori, B., Caputo, S. Tinelli, G., Zaccardi, F., Flex, A., Galli, M., </w:t>
      </w:r>
      <w:proofErr w:type="spellStart"/>
      <w:r w:rsidRPr="00903AE3">
        <w:rPr>
          <w:rFonts w:cstheme="minorHAnsi"/>
          <w:lang w:val="en-US"/>
        </w:rPr>
        <w:t>Pontecorvi</w:t>
      </w:r>
      <w:proofErr w:type="spellEnd"/>
      <w:r w:rsidRPr="00903AE3">
        <w:rPr>
          <w:rFonts w:cstheme="minorHAnsi"/>
          <w:lang w:val="en-US"/>
        </w:rPr>
        <w:t xml:space="preserve">, A., &amp; Sanguinetti, M. (2019). Diabetic foot infections: a comprehensive overview. </w:t>
      </w:r>
      <w:r w:rsidRPr="00903AE3">
        <w:rPr>
          <w:rFonts w:cstheme="minorHAnsi"/>
          <w:i/>
          <w:iCs/>
          <w:lang w:val="en-US"/>
        </w:rPr>
        <w:t xml:space="preserve">Eur. Rev. Med. </w:t>
      </w:r>
      <w:proofErr w:type="spellStart"/>
      <w:r w:rsidRPr="00903AE3">
        <w:rPr>
          <w:rFonts w:cstheme="minorHAnsi"/>
          <w:i/>
          <w:iCs/>
          <w:lang w:val="en-US"/>
        </w:rPr>
        <w:t>Pharmacol</w:t>
      </w:r>
      <w:proofErr w:type="spellEnd"/>
      <w:r w:rsidRPr="00903AE3">
        <w:rPr>
          <w:rFonts w:cstheme="minorHAnsi"/>
          <w:i/>
          <w:iCs/>
          <w:lang w:val="en-US"/>
        </w:rPr>
        <w:t>. Sci., 23</w:t>
      </w:r>
      <w:r w:rsidRPr="00903AE3">
        <w:rPr>
          <w:rFonts w:cstheme="minorHAnsi"/>
          <w:lang w:val="en-US"/>
        </w:rPr>
        <w:t>(2), 26-37.</w:t>
      </w:r>
      <w:r w:rsidR="00A878A4" w:rsidRPr="00903AE3">
        <w:rPr>
          <w:rFonts w:cstheme="minorHAnsi"/>
          <w:lang w:val="en-US"/>
        </w:rPr>
        <w:t xml:space="preserve"> </w:t>
      </w:r>
      <w:hyperlink r:id="rId46" w:history="1">
        <w:r w:rsidR="00A878A4" w:rsidRPr="00903AE3">
          <w:rPr>
            <w:rStyle w:val="Hiperligao"/>
            <w:rFonts w:cstheme="minorHAnsi"/>
            <w:color w:val="auto"/>
            <w:lang w:val="en-US"/>
          </w:rPr>
          <w:t>http://doi.org/</w:t>
        </w:r>
        <w:r w:rsidR="00A878A4" w:rsidRPr="00903AE3">
          <w:rPr>
            <w:rStyle w:val="Hiperligao"/>
            <w:rFonts w:cstheme="minorHAnsi"/>
            <w:color w:val="auto"/>
            <w:shd w:val="clear" w:color="auto" w:fill="FFFFFF"/>
            <w:lang w:val="en-US"/>
          </w:rPr>
          <w:t>10.26355/eurrev_201904_17471</w:t>
        </w:r>
      </w:hyperlink>
    </w:p>
    <w:p w14:paraId="690866EE" w14:textId="1714C520" w:rsidR="00E6475B" w:rsidRPr="00903AE3" w:rsidRDefault="00E6475B" w:rsidP="004E5C36">
      <w:pPr>
        <w:spacing w:after="120" w:line="240" w:lineRule="auto"/>
        <w:ind w:left="-170" w:right="-170"/>
        <w:jc w:val="both"/>
        <w:rPr>
          <w:rFonts w:cstheme="minorHAnsi"/>
          <w:lang w:val="en-US"/>
        </w:rPr>
      </w:pPr>
      <w:r w:rsidRPr="00903AE3">
        <w:rPr>
          <w:rFonts w:cstheme="minorHAnsi"/>
          <w:lang w:val="en-US"/>
        </w:rPr>
        <w:t xml:space="preserve">Punjani, N., Lanting, B., McClure, J. A., Winick-Ng, J., &amp; Welk, B. (2018). </w:t>
      </w:r>
      <w:r w:rsidR="001E6584" w:rsidRPr="00903AE3">
        <w:rPr>
          <w:rFonts w:cstheme="minorHAnsi"/>
          <w:lang w:val="en-US"/>
        </w:rPr>
        <w:t>The impact of common urologic complications on the risk of a periprosthetic joint infection</w:t>
      </w:r>
      <w:r w:rsidRPr="00903AE3">
        <w:rPr>
          <w:rFonts w:cstheme="minorHAnsi"/>
          <w:lang w:val="en-US"/>
        </w:rPr>
        <w:t xml:space="preserve">. </w:t>
      </w:r>
      <w:r w:rsidRPr="00903AE3">
        <w:rPr>
          <w:rFonts w:cstheme="minorHAnsi"/>
          <w:i/>
          <w:iCs/>
          <w:lang w:val="en-US"/>
        </w:rPr>
        <w:t>The Journal of Bone and Joint Surgery, 100</w:t>
      </w:r>
      <w:r w:rsidRPr="00903AE3">
        <w:rPr>
          <w:rFonts w:cstheme="minorHAnsi"/>
          <w:lang w:val="en-US"/>
        </w:rPr>
        <w:t>(7),</w:t>
      </w:r>
      <w:r w:rsidR="00B50BD2" w:rsidRPr="00903AE3">
        <w:rPr>
          <w:rFonts w:cstheme="minorHAnsi"/>
          <w:lang w:val="en-US"/>
        </w:rPr>
        <w:t xml:space="preserve"> </w:t>
      </w:r>
      <w:r w:rsidRPr="00903AE3">
        <w:rPr>
          <w:rFonts w:cstheme="minorHAnsi"/>
          <w:lang w:val="en-US"/>
        </w:rPr>
        <w:t xml:space="preserve">1517-1523. </w:t>
      </w:r>
      <w:hyperlink r:id="rId47" w:history="1">
        <w:r w:rsidR="00A878A4" w:rsidRPr="00903AE3">
          <w:rPr>
            <w:rStyle w:val="Hiperligao"/>
            <w:rFonts w:cstheme="minorHAnsi"/>
            <w:color w:val="auto"/>
            <w:lang w:val="en-US"/>
          </w:rPr>
          <w:t>http://doi.org/10.2106/JBJS.17.01405</w:t>
        </w:r>
      </w:hyperlink>
    </w:p>
    <w:p w14:paraId="2319917D" w14:textId="4EA16240" w:rsidR="00E6475B" w:rsidRPr="00903AE3" w:rsidRDefault="00E6475B" w:rsidP="004E5C36">
      <w:pPr>
        <w:spacing w:after="120" w:line="240" w:lineRule="auto"/>
        <w:ind w:left="-170" w:right="-170"/>
        <w:jc w:val="both"/>
        <w:rPr>
          <w:rFonts w:cstheme="minorHAnsi"/>
          <w:lang w:val="en-US"/>
        </w:rPr>
      </w:pPr>
      <w:r w:rsidRPr="00903AE3">
        <w:rPr>
          <w:rFonts w:cstheme="minorHAnsi"/>
        </w:rPr>
        <w:t xml:space="preserve">Resende, V. A., Neto, A., Nunes, C., Andrade, R., Mendes, J., &amp; Lopes, S. (2018). </w:t>
      </w:r>
      <w:r w:rsidRPr="00903AE3">
        <w:rPr>
          <w:rFonts w:cstheme="minorHAnsi"/>
          <w:lang w:val="en-US"/>
        </w:rPr>
        <w:t xml:space="preserve">Higher age, female gender, osteoarthritis and blood transfusion protect against periprosthetic joint infection in total hip or knee arthroplasties: a systematic review and meta-analysis. </w:t>
      </w:r>
      <w:r w:rsidRPr="00903AE3">
        <w:rPr>
          <w:rFonts w:cstheme="minorHAnsi"/>
          <w:i/>
          <w:iCs/>
          <w:lang w:val="en-US"/>
        </w:rPr>
        <w:t>European Society of Sports Traumatology, Knee Surgery, Arthroscopy</w:t>
      </w:r>
      <w:r w:rsidR="00B50BD2" w:rsidRPr="00903AE3">
        <w:rPr>
          <w:rFonts w:cstheme="minorHAnsi"/>
          <w:lang w:val="en-US"/>
        </w:rPr>
        <w:t xml:space="preserve">, </w:t>
      </w:r>
      <w:r w:rsidR="00B50BD2" w:rsidRPr="00903AE3">
        <w:rPr>
          <w:rFonts w:cstheme="minorHAnsi"/>
          <w:i/>
          <w:iCs/>
          <w:lang w:val="en-US"/>
        </w:rPr>
        <w:t>29,</w:t>
      </w:r>
      <w:r w:rsidR="00B50BD2" w:rsidRPr="00903AE3">
        <w:rPr>
          <w:rFonts w:cstheme="minorHAnsi"/>
          <w:lang w:val="en-US"/>
        </w:rPr>
        <w:t xml:space="preserve"> 8-43.</w:t>
      </w:r>
      <w:r w:rsidRPr="00903AE3">
        <w:rPr>
          <w:rFonts w:cstheme="minorHAnsi"/>
          <w:lang w:val="en-US"/>
        </w:rPr>
        <w:t xml:space="preserve"> </w:t>
      </w:r>
      <w:hyperlink r:id="rId48" w:history="1">
        <w:r w:rsidR="00A878A4" w:rsidRPr="00903AE3">
          <w:rPr>
            <w:rStyle w:val="Hiperligao"/>
            <w:rFonts w:cstheme="minorHAnsi"/>
            <w:color w:val="auto"/>
            <w:lang w:val="en-US"/>
          </w:rPr>
          <w:t>http://doi.org/10.1007/s00167-018-5231-9</w:t>
        </w:r>
      </w:hyperlink>
    </w:p>
    <w:p w14:paraId="04DC8016" w14:textId="067F0BA0" w:rsidR="00E6475B" w:rsidRPr="00903AE3" w:rsidRDefault="00E6475B" w:rsidP="004E5C36">
      <w:pPr>
        <w:spacing w:after="120" w:line="240" w:lineRule="auto"/>
        <w:ind w:left="-170" w:right="-170"/>
        <w:jc w:val="both"/>
        <w:rPr>
          <w:rFonts w:cstheme="minorHAnsi"/>
        </w:rPr>
      </w:pPr>
      <w:r w:rsidRPr="00903AE3">
        <w:rPr>
          <w:rFonts w:cstheme="minorHAnsi"/>
        </w:rPr>
        <w:t xml:space="preserve">Santos, M. R., </w:t>
      </w:r>
      <w:proofErr w:type="spellStart"/>
      <w:r w:rsidRPr="00903AE3">
        <w:rPr>
          <w:rFonts w:cstheme="minorHAnsi"/>
        </w:rPr>
        <w:t>Burci</w:t>
      </w:r>
      <w:proofErr w:type="spellEnd"/>
      <w:r w:rsidRPr="00903AE3">
        <w:rPr>
          <w:rFonts w:cstheme="minorHAnsi"/>
        </w:rPr>
        <w:t xml:space="preserve">, L. M., &amp; </w:t>
      </w:r>
      <w:proofErr w:type="spellStart"/>
      <w:r w:rsidRPr="00903AE3">
        <w:rPr>
          <w:rFonts w:cstheme="minorHAnsi"/>
        </w:rPr>
        <w:t>Weigert</w:t>
      </w:r>
      <w:proofErr w:type="spellEnd"/>
      <w:r w:rsidRPr="00903AE3">
        <w:rPr>
          <w:rFonts w:cstheme="minorHAnsi"/>
        </w:rPr>
        <w:t>, S. P. (2018). Fatores de Risco e Prevenção de Infeção do Sítio Cirúrgico.</w:t>
      </w:r>
      <w:r w:rsidR="00B50BD2" w:rsidRPr="00903AE3">
        <w:rPr>
          <w:rFonts w:cstheme="minorHAnsi"/>
        </w:rPr>
        <w:t xml:space="preserve"> </w:t>
      </w:r>
      <w:r w:rsidRPr="00903AE3">
        <w:rPr>
          <w:rFonts w:cstheme="minorHAnsi"/>
          <w:i/>
          <w:iCs/>
        </w:rPr>
        <w:t>Revista Gestão &amp; Saúde, 18</w:t>
      </w:r>
      <w:r w:rsidRPr="00903AE3">
        <w:rPr>
          <w:rFonts w:cstheme="minorHAnsi"/>
        </w:rPr>
        <w:t>(1),</w:t>
      </w:r>
      <w:r w:rsidR="00B50BD2" w:rsidRPr="00903AE3">
        <w:rPr>
          <w:rFonts w:cstheme="minorHAnsi"/>
        </w:rPr>
        <w:t xml:space="preserve"> </w:t>
      </w:r>
      <w:r w:rsidRPr="00903AE3">
        <w:rPr>
          <w:rFonts w:cstheme="minorHAnsi"/>
        </w:rPr>
        <w:t>39-45.</w:t>
      </w:r>
      <w:r w:rsidR="00B50BD2" w:rsidRPr="00903AE3">
        <w:rPr>
          <w:rFonts w:cstheme="minorHAnsi"/>
        </w:rPr>
        <w:t xml:space="preserve"> </w:t>
      </w:r>
      <w:hyperlink r:id="rId49" w:history="1">
        <w:r w:rsidR="00A878A4" w:rsidRPr="00903AE3">
          <w:rPr>
            <w:rStyle w:val="Hiperligao"/>
            <w:rFonts w:cstheme="minorHAnsi"/>
            <w:color w:val="auto"/>
          </w:rPr>
          <w:t>https://www.herrero.com.br/files/revista/file1697952adda1ba567e1b860228dc424f.pdf</w:t>
        </w:r>
      </w:hyperlink>
    </w:p>
    <w:p w14:paraId="5B2052DC" w14:textId="601D0454" w:rsidR="00E6475B" w:rsidRPr="00903AE3" w:rsidRDefault="00E6475B" w:rsidP="004E5C36">
      <w:pPr>
        <w:spacing w:after="120" w:line="240" w:lineRule="auto"/>
        <w:ind w:left="-170" w:right="-170"/>
        <w:jc w:val="both"/>
        <w:rPr>
          <w:rFonts w:cstheme="minorHAnsi"/>
        </w:rPr>
      </w:pPr>
      <w:r w:rsidRPr="00903AE3">
        <w:rPr>
          <w:rFonts w:cstheme="minorHAnsi"/>
        </w:rPr>
        <w:t xml:space="preserve">Silva, L., Silva, R., Carvalho, S., Façanha, D., Carvalho, R., &amp; Pereira, F. (2021). Fatores de risco para infeção de </w:t>
      </w:r>
      <w:proofErr w:type="gramStart"/>
      <w:r w:rsidRPr="00903AE3">
        <w:rPr>
          <w:rFonts w:cstheme="minorHAnsi"/>
        </w:rPr>
        <w:t>sitio</w:t>
      </w:r>
      <w:proofErr w:type="gramEnd"/>
      <w:r w:rsidRPr="00903AE3">
        <w:rPr>
          <w:rFonts w:cstheme="minorHAnsi"/>
        </w:rPr>
        <w:t xml:space="preserve"> cirúrgico em cirurgias </w:t>
      </w:r>
      <w:proofErr w:type="spellStart"/>
      <w:r w:rsidRPr="00903AE3">
        <w:rPr>
          <w:rFonts w:cstheme="minorHAnsi"/>
        </w:rPr>
        <w:t>traumato</w:t>
      </w:r>
      <w:proofErr w:type="spellEnd"/>
      <w:r w:rsidRPr="00903AE3">
        <w:rPr>
          <w:rFonts w:cstheme="minorHAnsi"/>
        </w:rPr>
        <w:t xml:space="preserve">-ortopédicas. </w:t>
      </w:r>
      <w:r w:rsidRPr="00903AE3">
        <w:rPr>
          <w:rFonts w:cstheme="minorHAnsi"/>
          <w:i/>
          <w:iCs/>
        </w:rPr>
        <w:t xml:space="preserve">Revista </w:t>
      </w:r>
      <w:proofErr w:type="spellStart"/>
      <w:r w:rsidRPr="00903AE3">
        <w:rPr>
          <w:rFonts w:cstheme="minorHAnsi"/>
          <w:i/>
          <w:iCs/>
        </w:rPr>
        <w:t>Cuidarte</w:t>
      </w:r>
      <w:proofErr w:type="spellEnd"/>
      <w:r w:rsidRPr="00903AE3">
        <w:rPr>
          <w:rFonts w:cstheme="minorHAnsi"/>
          <w:i/>
          <w:iCs/>
        </w:rPr>
        <w:t>, 12</w:t>
      </w:r>
      <w:r w:rsidRPr="00903AE3">
        <w:rPr>
          <w:rFonts w:cstheme="minorHAnsi"/>
        </w:rPr>
        <w:t xml:space="preserve">(2). </w:t>
      </w:r>
      <w:hyperlink r:id="rId50" w:history="1">
        <w:r w:rsidR="00A878A4" w:rsidRPr="00903AE3">
          <w:rPr>
            <w:rStyle w:val="Hiperligao"/>
            <w:rFonts w:cstheme="minorHAnsi"/>
            <w:color w:val="auto"/>
          </w:rPr>
          <w:t>http://doi.org/10.15649/cuidarte.1292</w:t>
        </w:r>
      </w:hyperlink>
    </w:p>
    <w:p w14:paraId="3124B00B" w14:textId="0C963537" w:rsidR="00E6475B" w:rsidRPr="00903AE3" w:rsidRDefault="00E6475B" w:rsidP="004E5C36">
      <w:pPr>
        <w:spacing w:after="120" w:line="240" w:lineRule="auto"/>
        <w:ind w:left="-170" w:right="-170"/>
        <w:jc w:val="both"/>
        <w:rPr>
          <w:rFonts w:cstheme="minorHAnsi"/>
          <w:lang w:val="en-US"/>
        </w:rPr>
      </w:pPr>
      <w:r w:rsidRPr="00903AE3">
        <w:rPr>
          <w:rFonts w:cstheme="minorHAnsi"/>
        </w:rPr>
        <w:t xml:space="preserve">Sousa, A., Oliveira, L., Carvalho, H., Ribeiro, I., Fronteira, I., &amp; Andrade, D. (2021). Ocorrência de complicações no pós-operatório tardio de </w:t>
      </w:r>
      <w:proofErr w:type="spellStart"/>
      <w:r w:rsidRPr="00903AE3">
        <w:rPr>
          <w:rFonts w:cstheme="minorHAnsi"/>
        </w:rPr>
        <w:t>artroplastia</w:t>
      </w:r>
      <w:proofErr w:type="spellEnd"/>
      <w:r w:rsidRPr="00903AE3">
        <w:rPr>
          <w:rFonts w:cstheme="minorHAnsi"/>
        </w:rPr>
        <w:t xml:space="preserve"> de joelho e quadril. </w:t>
      </w:r>
      <w:proofErr w:type="spellStart"/>
      <w:r w:rsidRPr="00903AE3">
        <w:rPr>
          <w:rFonts w:cstheme="minorHAnsi"/>
          <w:i/>
          <w:iCs/>
          <w:lang w:val="en-US"/>
        </w:rPr>
        <w:t>Revista</w:t>
      </w:r>
      <w:proofErr w:type="spellEnd"/>
      <w:r w:rsidRPr="00903AE3">
        <w:rPr>
          <w:rFonts w:cstheme="minorHAnsi"/>
          <w:i/>
          <w:iCs/>
          <w:lang w:val="en-US"/>
        </w:rPr>
        <w:t xml:space="preserve"> Fun Care Online</w:t>
      </w:r>
      <w:r w:rsidR="008F3519" w:rsidRPr="00903AE3">
        <w:rPr>
          <w:rFonts w:cstheme="minorHAnsi"/>
          <w:i/>
          <w:iCs/>
          <w:lang w:val="en-US"/>
        </w:rPr>
        <w:t xml:space="preserve">, </w:t>
      </w:r>
      <w:r w:rsidRPr="00903AE3">
        <w:rPr>
          <w:rFonts w:cstheme="minorHAnsi"/>
          <w:i/>
          <w:iCs/>
          <w:lang w:val="en-US"/>
        </w:rPr>
        <w:t>13</w:t>
      </w:r>
      <w:r w:rsidRPr="00903AE3">
        <w:rPr>
          <w:rFonts w:cstheme="minorHAnsi"/>
          <w:lang w:val="en-US"/>
        </w:rPr>
        <w:t xml:space="preserve">, 1271-1276. </w:t>
      </w:r>
      <w:hyperlink r:id="rId51" w:history="1">
        <w:r w:rsidR="00A878A4" w:rsidRPr="00903AE3">
          <w:rPr>
            <w:rStyle w:val="Hiperligao"/>
            <w:rFonts w:cstheme="minorHAnsi"/>
            <w:color w:val="auto"/>
            <w:lang w:val="en-US"/>
          </w:rPr>
          <w:t>http://doi.org/10.9789/2175-5361.rpcfo.v13.9692</w:t>
        </w:r>
      </w:hyperlink>
    </w:p>
    <w:p w14:paraId="013178A6" w14:textId="13132438" w:rsidR="00A150C8" w:rsidRPr="00903AE3" w:rsidRDefault="00A150C8" w:rsidP="004E5C36">
      <w:pPr>
        <w:spacing w:after="120" w:line="240" w:lineRule="auto"/>
        <w:ind w:left="-170" w:right="-170"/>
        <w:jc w:val="both"/>
        <w:rPr>
          <w:rFonts w:cstheme="minorHAnsi"/>
          <w:lang w:val="en-US"/>
        </w:rPr>
      </w:pPr>
      <w:proofErr w:type="spellStart"/>
      <w:r w:rsidRPr="00903AE3">
        <w:rPr>
          <w:rFonts w:cstheme="minorHAnsi"/>
          <w:lang w:val="en-US"/>
        </w:rPr>
        <w:t>Surial</w:t>
      </w:r>
      <w:proofErr w:type="spellEnd"/>
      <w:r w:rsidRPr="00903AE3">
        <w:rPr>
          <w:rFonts w:cstheme="minorHAnsi"/>
          <w:lang w:val="en-US"/>
        </w:rPr>
        <w:t xml:space="preserve">, B., Atkinson, A., </w:t>
      </w:r>
      <w:proofErr w:type="spellStart"/>
      <w:r w:rsidRPr="00903AE3">
        <w:rPr>
          <w:rFonts w:cstheme="minorHAnsi"/>
          <w:lang w:val="en-US"/>
        </w:rPr>
        <w:t>Külpmann</w:t>
      </w:r>
      <w:proofErr w:type="spellEnd"/>
      <w:r w:rsidRPr="00903AE3">
        <w:rPr>
          <w:rFonts w:cstheme="minorHAnsi"/>
          <w:lang w:val="en-US"/>
        </w:rPr>
        <w:t xml:space="preserve">, R., Brunner, A., Hildebrand, K., Sicre, B., </w:t>
      </w:r>
      <w:proofErr w:type="spellStart"/>
      <w:r w:rsidRPr="00903AE3">
        <w:rPr>
          <w:rFonts w:cstheme="minorHAnsi"/>
          <w:lang w:val="en-US"/>
        </w:rPr>
        <w:t>Troillet</w:t>
      </w:r>
      <w:proofErr w:type="spellEnd"/>
      <w:r w:rsidRPr="00903AE3">
        <w:rPr>
          <w:rFonts w:cstheme="minorHAnsi"/>
          <w:lang w:val="en-US"/>
        </w:rPr>
        <w:t xml:space="preserve">, N., Widmer, A., Rolli, E., Maag, J., &amp; Marschall, J. (2022). </w:t>
      </w:r>
      <w:r w:rsidR="000D58AE" w:rsidRPr="00903AE3">
        <w:rPr>
          <w:rFonts w:cstheme="minorHAnsi"/>
          <w:lang w:val="en-US"/>
        </w:rPr>
        <w:t xml:space="preserve">Better operating </w:t>
      </w:r>
      <w:proofErr w:type="gramStart"/>
      <w:r w:rsidR="000D58AE" w:rsidRPr="00903AE3">
        <w:rPr>
          <w:rFonts w:cstheme="minorHAnsi"/>
          <w:lang w:val="en-US"/>
        </w:rPr>
        <w:t>room ventilation as determined by a novel</w:t>
      </w:r>
      <w:proofErr w:type="gramEnd"/>
      <w:r w:rsidR="000D58AE" w:rsidRPr="00903AE3">
        <w:rPr>
          <w:rFonts w:cstheme="minorHAnsi"/>
          <w:lang w:val="en-US"/>
        </w:rPr>
        <w:t xml:space="preserve"> </w:t>
      </w:r>
      <w:proofErr w:type="gramStart"/>
      <w:r w:rsidR="000D58AE" w:rsidRPr="00903AE3">
        <w:rPr>
          <w:rFonts w:cstheme="minorHAnsi"/>
          <w:lang w:val="en-US"/>
        </w:rPr>
        <w:t>ventilation index</w:t>
      </w:r>
      <w:proofErr w:type="gramEnd"/>
      <w:r w:rsidR="000D58AE" w:rsidRPr="00903AE3">
        <w:rPr>
          <w:rFonts w:cstheme="minorHAnsi"/>
          <w:lang w:val="en-US"/>
        </w:rPr>
        <w:t xml:space="preserve"> is associated with lower rates of surgical site infections</w:t>
      </w:r>
      <w:r w:rsidRPr="00903AE3">
        <w:rPr>
          <w:rFonts w:cstheme="minorHAnsi"/>
          <w:lang w:val="en-US"/>
        </w:rPr>
        <w:t xml:space="preserve">. </w:t>
      </w:r>
      <w:r w:rsidRPr="00903AE3">
        <w:rPr>
          <w:rFonts w:cstheme="minorHAnsi"/>
          <w:i/>
          <w:iCs/>
          <w:lang w:val="en-US"/>
        </w:rPr>
        <w:t>Annals of Surgery, 276</w:t>
      </w:r>
      <w:r w:rsidRPr="00903AE3">
        <w:rPr>
          <w:rFonts w:cstheme="minorHAnsi"/>
          <w:lang w:val="en-US"/>
        </w:rPr>
        <w:t>(5),</w:t>
      </w:r>
      <w:r w:rsidR="00DD4297" w:rsidRPr="00903AE3">
        <w:rPr>
          <w:rFonts w:cstheme="minorHAnsi"/>
          <w:lang w:val="en-US"/>
        </w:rPr>
        <w:t xml:space="preserve"> 353-360.</w:t>
      </w:r>
      <w:r w:rsidRPr="00903AE3">
        <w:rPr>
          <w:rFonts w:cstheme="minorHAnsi"/>
          <w:lang w:val="en-US"/>
        </w:rPr>
        <w:t xml:space="preserve"> </w:t>
      </w:r>
      <w:hyperlink r:id="rId52" w:history="1">
        <w:r w:rsidRPr="00903AE3">
          <w:rPr>
            <w:rStyle w:val="Hiperligao"/>
            <w:rFonts w:cstheme="minorHAnsi"/>
            <w:color w:val="auto"/>
            <w:lang w:val="en-US"/>
          </w:rPr>
          <w:t>https://doi.org/10.1097/SLA.0000000000005670</w:t>
        </w:r>
      </w:hyperlink>
    </w:p>
    <w:p w14:paraId="1E2DB57E" w14:textId="3F997F60" w:rsidR="00E6475B" w:rsidRPr="00903AE3" w:rsidRDefault="00E6475B" w:rsidP="004E5C36">
      <w:pPr>
        <w:spacing w:after="120" w:line="240" w:lineRule="auto"/>
        <w:ind w:left="-170" w:right="-170"/>
        <w:jc w:val="both"/>
        <w:rPr>
          <w:rFonts w:cstheme="minorHAnsi"/>
          <w:lang w:val="en-US"/>
        </w:rPr>
      </w:pPr>
      <w:r w:rsidRPr="00903AE3">
        <w:rPr>
          <w:rFonts w:cstheme="minorHAnsi"/>
          <w:lang w:val="en-US"/>
        </w:rPr>
        <w:t xml:space="preserve">Tavares, M. R., Alencar, S. D., Frazão, S. P., Azi, M. L., </w:t>
      </w:r>
      <w:proofErr w:type="spellStart"/>
      <w:r w:rsidRPr="00903AE3">
        <w:rPr>
          <w:rFonts w:cstheme="minorHAnsi"/>
          <w:lang w:val="en-US"/>
        </w:rPr>
        <w:t>Sadgursky</w:t>
      </w:r>
      <w:proofErr w:type="spellEnd"/>
      <w:r w:rsidRPr="00903AE3">
        <w:rPr>
          <w:rFonts w:cstheme="minorHAnsi"/>
          <w:lang w:val="en-US"/>
        </w:rPr>
        <w:t xml:space="preserve">, D., &amp; Alencar, D. (2022). </w:t>
      </w:r>
      <w:r w:rsidRPr="00903AE3">
        <w:rPr>
          <w:rFonts w:cstheme="minorHAnsi"/>
        </w:rPr>
        <w:t xml:space="preserve">Fatores associados ao desenvolvimento de complicações precoces após </w:t>
      </w:r>
      <w:proofErr w:type="spellStart"/>
      <w:r w:rsidRPr="00903AE3">
        <w:rPr>
          <w:rFonts w:cstheme="minorHAnsi"/>
        </w:rPr>
        <w:lastRenderedPageBreak/>
        <w:t>artroplastia</w:t>
      </w:r>
      <w:proofErr w:type="spellEnd"/>
      <w:r w:rsidRPr="00903AE3">
        <w:rPr>
          <w:rFonts w:cstheme="minorHAnsi"/>
        </w:rPr>
        <w:t xml:space="preserve"> total do joelho. </w:t>
      </w:r>
      <w:proofErr w:type="spellStart"/>
      <w:r w:rsidRPr="00903AE3">
        <w:rPr>
          <w:rFonts w:cstheme="minorHAnsi"/>
          <w:i/>
          <w:iCs/>
          <w:lang w:val="en-US"/>
        </w:rPr>
        <w:t>Revista</w:t>
      </w:r>
      <w:proofErr w:type="spellEnd"/>
      <w:r w:rsidRPr="00903AE3">
        <w:rPr>
          <w:rFonts w:cstheme="minorHAnsi"/>
          <w:i/>
          <w:iCs/>
          <w:lang w:val="en-US"/>
        </w:rPr>
        <w:t xml:space="preserve"> Brasileira de </w:t>
      </w:r>
      <w:proofErr w:type="spellStart"/>
      <w:r w:rsidRPr="00903AE3">
        <w:rPr>
          <w:rFonts w:cstheme="minorHAnsi"/>
          <w:i/>
          <w:iCs/>
          <w:lang w:val="en-US"/>
        </w:rPr>
        <w:t>Ortopedia</w:t>
      </w:r>
      <w:proofErr w:type="spellEnd"/>
      <w:r w:rsidRPr="00903AE3">
        <w:rPr>
          <w:rFonts w:cstheme="minorHAnsi"/>
          <w:i/>
          <w:iCs/>
          <w:lang w:val="en-US"/>
        </w:rPr>
        <w:t>, 57</w:t>
      </w:r>
      <w:r w:rsidRPr="00903AE3">
        <w:rPr>
          <w:rFonts w:cstheme="minorHAnsi"/>
          <w:lang w:val="en-US"/>
        </w:rPr>
        <w:t xml:space="preserve">(4), 661-666. </w:t>
      </w:r>
      <w:hyperlink r:id="rId53" w:history="1">
        <w:r w:rsidR="00A878A4" w:rsidRPr="00903AE3">
          <w:rPr>
            <w:rStyle w:val="Hiperligao"/>
            <w:rFonts w:cstheme="minorHAnsi"/>
            <w:color w:val="auto"/>
            <w:lang w:val="en-US"/>
          </w:rPr>
          <w:t>http://doi.org/10.1055/s-0041-1736309</w:t>
        </w:r>
      </w:hyperlink>
    </w:p>
    <w:p w14:paraId="7FB87708" w14:textId="0BD7492A" w:rsidR="00E6475B" w:rsidRPr="00903AE3" w:rsidRDefault="00E6475B" w:rsidP="004E5C36">
      <w:pPr>
        <w:spacing w:after="120" w:line="240" w:lineRule="auto"/>
        <w:ind w:left="-170" w:right="-170"/>
        <w:jc w:val="both"/>
        <w:rPr>
          <w:rFonts w:cstheme="minorHAnsi"/>
          <w:lang w:val="en-US"/>
        </w:rPr>
      </w:pPr>
      <w:proofErr w:type="spellStart"/>
      <w:r w:rsidRPr="00903AE3">
        <w:rPr>
          <w:rFonts w:cstheme="minorHAnsi"/>
          <w:lang w:val="en-US"/>
        </w:rPr>
        <w:t>Tricco</w:t>
      </w:r>
      <w:proofErr w:type="spellEnd"/>
      <w:r w:rsidRPr="00903AE3">
        <w:rPr>
          <w:rFonts w:cstheme="minorHAnsi"/>
          <w:lang w:val="en-US"/>
        </w:rPr>
        <w:t xml:space="preserve">, A. C., Lillie, E., Zarin, W., O'Brien, K. K., Colquhoun, H., Levac, D., Moher, D., Peters, M. D. J., Horsley, T., Weeks, L., Hempel, S., Akl, E. A., Chang, C., McGowan, J., Stewart, L., Hartling, L., </w:t>
      </w:r>
      <w:proofErr w:type="spellStart"/>
      <w:r w:rsidRPr="00903AE3">
        <w:rPr>
          <w:rFonts w:cstheme="minorHAnsi"/>
          <w:lang w:val="en-US"/>
        </w:rPr>
        <w:t>Aldcroft</w:t>
      </w:r>
      <w:proofErr w:type="spellEnd"/>
      <w:r w:rsidRPr="00903AE3">
        <w:rPr>
          <w:rFonts w:cstheme="minorHAnsi"/>
          <w:lang w:val="en-US"/>
        </w:rPr>
        <w:t xml:space="preserve">, A., Wilson, M. G., </w:t>
      </w:r>
      <w:proofErr w:type="spellStart"/>
      <w:r w:rsidRPr="00903AE3">
        <w:rPr>
          <w:rFonts w:cstheme="minorHAnsi"/>
          <w:lang w:val="en-US"/>
        </w:rPr>
        <w:t>Garritty</w:t>
      </w:r>
      <w:proofErr w:type="spellEnd"/>
      <w:r w:rsidRPr="00903AE3">
        <w:rPr>
          <w:rFonts w:cstheme="minorHAnsi"/>
          <w:lang w:val="en-US"/>
        </w:rPr>
        <w:t>, C., (…) &amp; Sharon</w:t>
      </w:r>
      <w:r w:rsidR="00282C3F" w:rsidRPr="00903AE3">
        <w:rPr>
          <w:rFonts w:cstheme="minorHAnsi"/>
          <w:lang w:val="en-US"/>
        </w:rPr>
        <w:t>,</w:t>
      </w:r>
      <w:r w:rsidRPr="00903AE3">
        <w:rPr>
          <w:rFonts w:cstheme="minorHAnsi"/>
          <w:lang w:val="en-US"/>
        </w:rPr>
        <w:t xml:space="preserve"> E. (2018). PRISMA </w:t>
      </w:r>
      <w:r w:rsidR="00B50BD2" w:rsidRPr="00903AE3">
        <w:rPr>
          <w:rFonts w:cstheme="minorHAnsi"/>
          <w:lang w:val="en-US"/>
        </w:rPr>
        <w:t>e</w:t>
      </w:r>
      <w:r w:rsidRPr="00903AE3">
        <w:rPr>
          <w:rFonts w:cstheme="minorHAnsi"/>
          <w:lang w:val="en-US"/>
        </w:rPr>
        <w:t xml:space="preserve">xtension for </w:t>
      </w:r>
      <w:r w:rsidR="00B50BD2" w:rsidRPr="00903AE3">
        <w:rPr>
          <w:rFonts w:cstheme="minorHAnsi"/>
          <w:lang w:val="en-US"/>
        </w:rPr>
        <w:t>s</w:t>
      </w:r>
      <w:r w:rsidRPr="00903AE3">
        <w:rPr>
          <w:rFonts w:cstheme="minorHAnsi"/>
          <w:lang w:val="en-US"/>
        </w:rPr>
        <w:t xml:space="preserve">coping </w:t>
      </w:r>
      <w:r w:rsidR="00B50BD2" w:rsidRPr="00903AE3">
        <w:rPr>
          <w:rFonts w:cstheme="minorHAnsi"/>
          <w:lang w:val="en-US"/>
        </w:rPr>
        <w:t>r</w:t>
      </w:r>
      <w:r w:rsidRPr="00903AE3">
        <w:rPr>
          <w:rFonts w:cstheme="minorHAnsi"/>
          <w:lang w:val="en-US"/>
        </w:rPr>
        <w:t>eviews (PRISMA-</w:t>
      </w:r>
      <w:proofErr w:type="spellStart"/>
      <w:r w:rsidRPr="00903AE3">
        <w:rPr>
          <w:rFonts w:cstheme="minorHAnsi"/>
          <w:lang w:val="en-US"/>
        </w:rPr>
        <w:t>ScR</w:t>
      </w:r>
      <w:proofErr w:type="spellEnd"/>
      <w:r w:rsidRPr="00903AE3">
        <w:rPr>
          <w:rFonts w:cstheme="minorHAnsi"/>
          <w:lang w:val="en-US"/>
        </w:rPr>
        <w:t xml:space="preserve">): </w:t>
      </w:r>
      <w:r w:rsidR="00B50BD2" w:rsidRPr="00903AE3">
        <w:rPr>
          <w:rFonts w:cstheme="minorHAnsi"/>
          <w:lang w:val="en-US"/>
        </w:rPr>
        <w:t>c</w:t>
      </w:r>
      <w:r w:rsidRPr="00903AE3">
        <w:rPr>
          <w:rFonts w:cstheme="minorHAnsi"/>
          <w:lang w:val="en-US"/>
        </w:rPr>
        <w:t xml:space="preserve">hecklist and </w:t>
      </w:r>
      <w:r w:rsidR="00B50BD2" w:rsidRPr="00903AE3">
        <w:rPr>
          <w:rFonts w:cstheme="minorHAnsi"/>
          <w:lang w:val="en-US"/>
        </w:rPr>
        <w:t>e</w:t>
      </w:r>
      <w:r w:rsidRPr="00903AE3">
        <w:rPr>
          <w:rFonts w:cstheme="minorHAnsi"/>
          <w:lang w:val="en-US"/>
        </w:rPr>
        <w:t xml:space="preserve">xplanation. </w:t>
      </w:r>
      <w:r w:rsidRPr="00903AE3">
        <w:rPr>
          <w:rFonts w:cstheme="minorHAnsi"/>
          <w:i/>
          <w:iCs/>
          <w:lang w:val="en-US"/>
        </w:rPr>
        <w:t>Annals of Internal Medicine, 169</w:t>
      </w:r>
      <w:r w:rsidRPr="00903AE3">
        <w:rPr>
          <w:rFonts w:cstheme="minorHAnsi"/>
          <w:lang w:val="en-US"/>
        </w:rPr>
        <w:t xml:space="preserve">(7). </w:t>
      </w:r>
      <w:hyperlink r:id="rId54" w:history="1">
        <w:r w:rsidR="00A878A4" w:rsidRPr="00903AE3">
          <w:rPr>
            <w:rStyle w:val="Hiperligao"/>
            <w:rFonts w:cstheme="minorHAnsi"/>
            <w:color w:val="auto"/>
            <w:lang w:val="en-US"/>
          </w:rPr>
          <w:t>http://doi.org/10.7326/M18-0850</w:t>
        </w:r>
      </w:hyperlink>
    </w:p>
    <w:p w14:paraId="333D8086" w14:textId="36B26AF4" w:rsidR="00E6475B" w:rsidRPr="00903AE3" w:rsidRDefault="00E6475B" w:rsidP="00FF2338">
      <w:pPr>
        <w:spacing w:after="120" w:line="240" w:lineRule="auto"/>
        <w:ind w:left="-170" w:right="-170"/>
        <w:jc w:val="both"/>
        <w:rPr>
          <w:rFonts w:cstheme="minorHAnsi"/>
          <w:lang w:val="en-US"/>
        </w:rPr>
      </w:pPr>
      <w:r w:rsidRPr="00903AE3">
        <w:rPr>
          <w:rFonts w:cstheme="minorHAnsi"/>
          <w:lang w:val="en-US"/>
        </w:rPr>
        <w:t>World Health Organization</w:t>
      </w:r>
      <w:r w:rsidR="00C72487" w:rsidRPr="00903AE3">
        <w:rPr>
          <w:rFonts w:cstheme="minorHAnsi"/>
          <w:lang w:val="en-US"/>
        </w:rPr>
        <w:t>.</w:t>
      </w:r>
      <w:r w:rsidRPr="00903AE3">
        <w:rPr>
          <w:rFonts w:cstheme="minorHAnsi"/>
          <w:lang w:val="en-US"/>
        </w:rPr>
        <w:t xml:space="preserve"> (2023). </w:t>
      </w:r>
      <w:r w:rsidRPr="00FF2338">
        <w:rPr>
          <w:rFonts w:cstheme="minorHAnsi"/>
          <w:lang w:val="en-US"/>
        </w:rPr>
        <w:t>Osteoarthritis</w:t>
      </w:r>
      <w:r w:rsidRPr="00903AE3">
        <w:rPr>
          <w:rFonts w:cstheme="minorHAnsi"/>
          <w:lang w:val="en-US"/>
        </w:rPr>
        <w:t xml:space="preserve">. </w:t>
      </w:r>
      <w:hyperlink r:id="rId55" w:history="1">
        <w:r w:rsidR="00A878A4" w:rsidRPr="005C427E">
          <w:rPr>
            <w:lang w:val="en-US"/>
          </w:rPr>
          <w:t>https://www.who.int/news-room/fact-sheets/detail/osteoarthritis</w:t>
        </w:r>
      </w:hyperlink>
    </w:p>
    <w:p w14:paraId="2AACBA1E" w14:textId="77777777" w:rsidR="004E5C36" w:rsidRPr="00FF2338" w:rsidRDefault="00E6475B" w:rsidP="00FF2338">
      <w:pPr>
        <w:spacing w:after="120" w:line="240" w:lineRule="auto"/>
        <w:ind w:left="-170" w:right="-170"/>
        <w:jc w:val="both"/>
        <w:rPr>
          <w:rFonts w:cstheme="minorHAnsi"/>
          <w:lang w:val="en-US"/>
        </w:rPr>
        <w:sectPr w:rsidR="004E5C36" w:rsidRPr="00FF2338" w:rsidSect="00A5365E">
          <w:type w:val="continuous"/>
          <w:pgSz w:w="11906" w:h="16838"/>
          <w:pgMar w:top="1135" w:right="1080" w:bottom="1418" w:left="1080" w:header="709" w:footer="454" w:gutter="0"/>
          <w:cols w:num="2" w:space="708"/>
          <w:titlePg/>
          <w:docGrid w:linePitch="360"/>
        </w:sectPr>
      </w:pPr>
      <w:r w:rsidRPr="00903AE3">
        <w:rPr>
          <w:rFonts w:cstheme="minorHAnsi"/>
          <w:lang w:val="en-US"/>
        </w:rPr>
        <w:t xml:space="preserve">Yang, G., Zhu, Y., &amp; Zhang, Y. (2020). Prognostic risk factors of surgical site infection after primary joint arthroplasty. A retrospective cohort study. </w:t>
      </w:r>
      <w:r w:rsidRPr="00FF2338">
        <w:rPr>
          <w:rFonts w:cstheme="minorHAnsi"/>
          <w:lang w:val="en-US"/>
        </w:rPr>
        <w:t>Medicine, 99</w:t>
      </w:r>
      <w:r w:rsidRPr="00903AE3">
        <w:rPr>
          <w:rFonts w:cstheme="minorHAnsi"/>
          <w:lang w:val="en-US"/>
        </w:rPr>
        <w:t xml:space="preserve">(8), 1-6. </w:t>
      </w:r>
      <w:hyperlink r:id="rId56" w:history="1">
        <w:r w:rsidR="00A878A4" w:rsidRPr="00FF2338">
          <w:t>http://doi.org/10.1097/md.0000000000019283</w:t>
        </w:r>
      </w:hyperlink>
    </w:p>
    <w:p w14:paraId="652EEA18" w14:textId="68FB95BB" w:rsidR="00B71500" w:rsidRPr="00903AE3" w:rsidRDefault="00B71500" w:rsidP="00B71500">
      <w:pPr>
        <w:spacing w:after="120" w:line="240" w:lineRule="auto"/>
        <w:jc w:val="both"/>
        <w:rPr>
          <w:rFonts w:cstheme="minorHAnsi"/>
          <w:lang w:val="en-US"/>
        </w:rPr>
      </w:pPr>
    </w:p>
    <w:sectPr w:rsidR="00B71500" w:rsidRPr="00903AE3" w:rsidSect="004E5C36">
      <w:type w:val="continuous"/>
      <w:pgSz w:w="11906" w:h="16838"/>
      <w:pgMar w:top="1135" w:right="1080" w:bottom="1418"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9458" w14:textId="77777777" w:rsidR="00B05897" w:rsidRDefault="00B05897" w:rsidP="004F6933">
      <w:pPr>
        <w:spacing w:after="0" w:line="240" w:lineRule="auto"/>
      </w:pPr>
      <w:r>
        <w:separator/>
      </w:r>
    </w:p>
  </w:endnote>
  <w:endnote w:type="continuationSeparator" w:id="0">
    <w:p w14:paraId="57265C3B" w14:textId="77777777" w:rsidR="00B05897" w:rsidRDefault="00B05897" w:rsidP="004F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276429"/>
      <w:docPartObj>
        <w:docPartGallery w:val="Page Numbers (Bottom of Page)"/>
        <w:docPartUnique/>
      </w:docPartObj>
    </w:sdtPr>
    <w:sdtEndPr>
      <w:rPr>
        <w:rFonts w:ascii="Calibri" w:hAnsi="Calibri" w:cs="Calibri"/>
      </w:rPr>
    </w:sdtEndPr>
    <w:sdtContent>
      <w:p w14:paraId="43B63ACF" w14:textId="77777777" w:rsidR="00E57A1B" w:rsidRPr="00CD0AE3" w:rsidRDefault="00E57A1B" w:rsidP="00E57A1B">
        <w:pPr>
          <w:pStyle w:val="Rodap"/>
          <w:ind w:left="-170" w:right="-170"/>
          <w:jc w:val="center"/>
          <w:rPr>
            <w:rFonts w:ascii="Calibri" w:hAnsi="Calibri" w:cs="Calibri"/>
          </w:rPr>
        </w:pPr>
        <w:r w:rsidRPr="00CD0AE3">
          <w:rPr>
            <w:rFonts w:ascii="Calibri" w:hAnsi="Calibri" w:cs="Calibri"/>
          </w:rPr>
          <w:fldChar w:fldCharType="begin"/>
        </w:r>
        <w:r w:rsidRPr="00CD0AE3">
          <w:rPr>
            <w:rFonts w:ascii="Calibri" w:hAnsi="Calibri" w:cs="Calibri"/>
          </w:rPr>
          <w:instrText>PAGE   \* MERGEFORMAT</w:instrText>
        </w:r>
        <w:r w:rsidRPr="00CD0AE3">
          <w:rPr>
            <w:rFonts w:ascii="Calibri" w:hAnsi="Calibri" w:cs="Calibri"/>
          </w:rPr>
          <w:fldChar w:fldCharType="separate"/>
        </w:r>
        <w:r>
          <w:rPr>
            <w:rFonts w:ascii="Calibri" w:hAnsi="Calibri" w:cs="Calibri"/>
          </w:rPr>
          <w:t>2</w:t>
        </w:r>
        <w:r w:rsidRPr="00CD0AE3">
          <w:rPr>
            <w:rFonts w:ascii="Calibri" w:hAnsi="Calibri" w:cs="Calibri"/>
          </w:rPr>
          <w:fldChar w:fldCharType="end"/>
        </w:r>
      </w:p>
    </w:sdtContent>
  </w:sdt>
  <w:p w14:paraId="40FAF1CA" w14:textId="77777777" w:rsidR="00E57A1B" w:rsidRPr="00CD0AE3" w:rsidRDefault="00E57A1B" w:rsidP="00E57A1B">
    <w:pPr>
      <w:pStyle w:val="Rodap"/>
      <w:ind w:left="-170" w:right="-170"/>
      <w:jc w:val="right"/>
      <w:rPr>
        <w:rFonts w:ascii="Calibri" w:hAnsi="Calibri" w:cs="Calibri"/>
      </w:rPr>
    </w:pPr>
    <w:r w:rsidRPr="00CD0AE3">
      <w:rPr>
        <w:rFonts w:ascii="Calibri" w:hAnsi="Calibri" w:cs="Calibri"/>
      </w:rPr>
      <w:t>RIIS</w:t>
    </w:r>
  </w:p>
  <w:p w14:paraId="761A9D02" w14:textId="77777777" w:rsidR="00E57A1B" w:rsidRPr="002C2284" w:rsidRDefault="00E57A1B" w:rsidP="00E57A1B">
    <w:pPr>
      <w:pStyle w:val="Rodap"/>
      <w:tabs>
        <w:tab w:val="clear" w:pos="8504"/>
        <w:tab w:val="right" w:pos="9916"/>
      </w:tabs>
      <w:ind w:left="-170" w:right="-170"/>
      <w:rPr>
        <w:rFonts w:ascii="Calibri" w:hAnsi="Calibri" w:cs="Calibri"/>
      </w:rPr>
    </w:pPr>
    <w:hyperlink r:id="rId1" w:history="1">
      <w:r w:rsidRPr="00946EF3">
        <w:rPr>
          <w:rStyle w:val="Hiperligao"/>
          <w:rFonts w:cstheme="minorHAnsi"/>
        </w:rPr>
        <w:t>https://doi.org/10.37914/riis.v8i1.404</w:t>
      </w:r>
    </w:hyperlink>
    <w:r w:rsidRPr="002C2284">
      <w:rPr>
        <w:rFonts w:cstheme="minorHAnsi"/>
      </w:rPr>
      <w:t xml:space="preserve">            </w:t>
    </w:r>
    <w:r w:rsidRPr="00A62C34">
      <w:rPr>
        <w:rFonts w:cstheme="minorHAnsi"/>
        <w:sz w:val="28"/>
        <w:szCs w:val="28"/>
      </w:rPr>
      <w:t xml:space="preserve"> </w:t>
    </w:r>
    <w:r w:rsidRPr="002C2284">
      <w:rPr>
        <w:rFonts w:cstheme="minorHAnsi"/>
      </w:rPr>
      <w:t xml:space="preserve">                                       Revista de Investigação &amp; Inovação em Saúde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6AC0" w14:textId="77777777" w:rsidR="00FA7FFA" w:rsidRPr="001E32E0" w:rsidRDefault="00FA7FFA" w:rsidP="00FA7FFA">
    <w:pPr>
      <w:pStyle w:val="Rodap"/>
      <w:tabs>
        <w:tab w:val="clear" w:pos="4252"/>
      </w:tabs>
      <w:ind w:left="-113" w:right="-170"/>
      <w:jc w:val="center"/>
      <w:rPr>
        <w:rFonts w:cstheme="minorHAnsi"/>
      </w:rPr>
    </w:pPr>
    <w:r w:rsidRPr="001E32E0">
      <w:rPr>
        <w:rFonts w:cstheme="minorHAnsi"/>
        <w:noProof/>
        <w:lang w:eastAsia="pt-PT"/>
      </w:rPr>
      <w:drawing>
        <wp:anchor distT="0" distB="0" distL="114300" distR="114300" simplePos="0" relativeHeight="251659264" behindDoc="0" locked="0" layoutInCell="1" allowOverlap="1" wp14:anchorId="0076CA5B" wp14:editId="683DC26C">
          <wp:simplePos x="0" y="0"/>
          <wp:positionH relativeFrom="column">
            <wp:posOffset>-112395</wp:posOffset>
          </wp:positionH>
          <wp:positionV relativeFrom="paragraph">
            <wp:posOffset>94615</wp:posOffset>
          </wp:positionV>
          <wp:extent cx="716915" cy="254000"/>
          <wp:effectExtent l="0" t="0" r="6985" b="0"/>
          <wp:wrapNone/>
          <wp:docPr id="24853698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915" cy="254000"/>
                  </a:xfrm>
                  <a:prstGeom prst="rect">
                    <a:avLst/>
                  </a:prstGeom>
                  <a:noFill/>
                </pic:spPr>
              </pic:pic>
            </a:graphicData>
          </a:graphic>
          <wp14:sizeRelH relativeFrom="page">
            <wp14:pctWidth>0</wp14:pctWidth>
          </wp14:sizeRelH>
          <wp14:sizeRelV relativeFrom="page">
            <wp14:pctHeight>0</wp14:pctHeight>
          </wp14:sizeRelV>
        </wp:anchor>
      </w:drawing>
    </w:r>
    <w:r w:rsidRPr="001E32E0">
      <w:rPr>
        <w:rFonts w:cstheme="minorHAnsi"/>
      </w:rPr>
      <w:fldChar w:fldCharType="begin"/>
    </w:r>
    <w:r w:rsidRPr="001E32E0">
      <w:rPr>
        <w:rFonts w:cstheme="minorHAnsi"/>
      </w:rPr>
      <w:instrText>PAGE   \* MERGEFORMAT</w:instrText>
    </w:r>
    <w:r w:rsidRPr="001E32E0">
      <w:rPr>
        <w:rFonts w:cstheme="minorHAnsi"/>
      </w:rPr>
      <w:fldChar w:fldCharType="separate"/>
    </w:r>
    <w:r>
      <w:rPr>
        <w:rFonts w:cstheme="minorHAnsi"/>
      </w:rPr>
      <w:t>1</w:t>
    </w:r>
    <w:r w:rsidRPr="001E32E0">
      <w:rPr>
        <w:rFonts w:cstheme="minorHAnsi"/>
      </w:rPr>
      <w:fldChar w:fldCharType="end"/>
    </w:r>
  </w:p>
  <w:p w14:paraId="235B1E38" w14:textId="77777777" w:rsidR="00FA7FFA" w:rsidRPr="001E32E0" w:rsidRDefault="00FA7FFA" w:rsidP="00FA7FFA">
    <w:pPr>
      <w:pStyle w:val="Rodap"/>
      <w:ind w:left="-113" w:right="-170"/>
      <w:jc w:val="right"/>
      <w:rPr>
        <w:rFonts w:cstheme="minorHAnsi"/>
      </w:rPr>
    </w:pPr>
    <w:r w:rsidRPr="001E32E0">
      <w:rPr>
        <w:rFonts w:cstheme="minorHAnsi"/>
      </w:rPr>
      <w:t>RIIS</w:t>
    </w:r>
  </w:p>
  <w:p w14:paraId="79A31558" w14:textId="77777777" w:rsidR="00FA7FFA" w:rsidRPr="001C0E1E" w:rsidRDefault="00FA7FFA" w:rsidP="00FA7FFA">
    <w:pPr>
      <w:pStyle w:val="Rodap"/>
      <w:ind w:left="-170" w:right="-170"/>
    </w:pPr>
    <w:r w:rsidRPr="001E32E0">
      <w:rPr>
        <w:rFonts w:cstheme="minorHAnsi"/>
      </w:rPr>
      <w:t xml:space="preserve">eISSN:2184-3791                                                                      </w:t>
    </w:r>
    <w:r>
      <w:rPr>
        <w:rFonts w:cstheme="minorHAnsi"/>
      </w:rPr>
      <w:t xml:space="preserve">   </w:t>
    </w:r>
    <w:r w:rsidRPr="001E32E0">
      <w:rPr>
        <w:rFonts w:cstheme="minorHAnsi"/>
      </w:rPr>
      <w:t xml:space="preserve">            </w:t>
    </w:r>
    <w:r>
      <w:rPr>
        <w:rFonts w:cstheme="minorHAnsi"/>
      </w:rPr>
      <w:t xml:space="preserve"> </w:t>
    </w:r>
    <w:r w:rsidRPr="001E32E0">
      <w:rPr>
        <w:rFonts w:cstheme="minorHAnsi"/>
      </w:rPr>
      <w:t xml:space="preserve">   </w:t>
    </w:r>
    <w:r w:rsidRPr="001E32E0">
      <w:rPr>
        <w:rFonts w:cstheme="minorHAnsi"/>
      </w:rPr>
      <w:tab/>
      <w:t xml:space="preserve"> Revista de Investigação &amp; Inovação em Saúde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8386" w14:textId="77777777" w:rsidR="00B05897" w:rsidRDefault="00B05897" w:rsidP="004F6933">
      <w:pPr>
        <w:spacing w:after="0" w:line="240" w:lineRule="auto"/>
      </w:pPr>
      <w:r>
        <w:separator/>
      </w:r>
    </w:p>
  </w:footnote>
  <w:footnote w:type="continuationSeparator" w:id="0">
    <w:p w14:paraId="074744E4" w14:textId="77777777" w:rsidR="00B05897" w:rsidRDefault="00B05897" w:rsidP="004F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D0F5" w14:textId="77777777" w:rsidR="00225109" w:rsidRPr="002E3946" w:rsidRDefault="00225109" w:rsidP="00225109">
    <w:pPr>
      <w:pStyle w:val="Ttulo"/>
      <w:spacing w:after="0"/>
      <w:ind w:left="-170" w:right="-170"/>
      <w:jc w:val="center"/>
      <w:rPr>
        <w:bCs/>
        <w:sz w:val="22"/>
      </w:rPr>
    </w:pPr>
    <w:r>
      <w:rPr>
        <w:bCs/>
        <w:caps w:val="0"/>
        <w:sz w:val="22"/>
      </w:rPr>
      <w:t>Forte, L., &amp; Novais,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E349" w14:textId="10E17288" w:rsidR="00C05B15" w:rsidRPr="007B7EF2" w:rsidRDefault="004C6F29" w:rsidP="00C05B15">
    <w:pPr>
      <w:pStyle w:val="Cabealho"/>
      <w:tabs>
        <w:tab w:val="clear" w:pos="8504"/>
        <w:tab w:val="right" w:pos="9916"/>
      </w:tabs>
      <w:ind w:left="-170" w:right="-170"/>
      <w:rPr>
        <w:rFonts w:cstheme="minorHAnsi"/>
      </w:rPr>
    </w:pPr>
    <w:r>
      <w:rPr>
        <w:rFonts w:cstheme="minorHAnsi"/>
      </w:rPr>
      <w:t xml:space="preserve">REVIEW ARTICLE                                                                                                                                          </w:t>
    </w:r>
    <w:r w:rsidR="00C05B15">
      <w:rPr>
        <w:rFonts w:cstheme="minorHAnsi"/>
      </w:rPr>
      <w:t xml:space="preserve">RIIS | vol.8(1), </w:t>
    </w:r>
    <w:r w:rsidR="00C05B15" w:rsidRPr="007516B4">
      <w:rPr>
        <w:rFonts w:cstheme="minorHAnsi"/>
      </w:rPr>
      <w:t>1-1</w:t>
    </w:r>
    <w:r w:rsidR="00FF2338">
      <w:rPr>
        <w:rFonts w:cstheme="minorHAns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9557C"/>
    <w:multiLevelType w:val="hybridMultilevel"/>
    <w:tmpl w:val="605066D6"/>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3162D48"/>
    <w:multiLevelType w:val="hybridMultilevel"/>
    <w:tmpl w:val="9CCE0BB4"/>
    <w:lvl w:ilvl="0" w:tplc="77B4A910">
      <w:start w:val="1"/>
      <w:numFmt w:val="bullet"/>
      <w:lvlText w:val="•"/>
      <w:lvlJc w:val="left"/>
      <w:pPr>
        <w:tabs>
          <w:tab w:val="num" w:pos="720"/>
        </w:tabs>
        <w:ind w:left="720" w:hanging="360"/>
      </w:pPr>
      <w:rPr>
        <w:rFonts w:ascii="Arial" w:hAnsi="Arial" w:hint="default"/>
      </w:rPr>
    </w:lvl>
    <w:lvl w:ilvl="1" w:tplc="7FBCB660" w:tentative="1">
      <w:start w:val="1"/>
      <w:numFmt w:val="bullet"/>
      <w:lvlText w:val="•"/>
      <w:lvlJc w:val="left"/>
      <w:pPr>
        <w:tabs>
          <w:tab w:val="num" w:pos="1440"/>
        </w:tabs>
        <w:ind w:left="1440" w:hanging="360"/>
      </w:pPr>
      <w:rPr>
        <w:rFonts w:ascii="Arial" w:hAnsi="Arial" w:hint="default"/>
      </w:rPr>
    </w:lvl>
    <w:lvl w:ilvl="2" w:tplc="FE3E5614" w:tentative="1">
      <w:start w:val="1"/>
      <w:numFmt w:val="bullet"/>
      <w:lvlText w:val="•"/>
      <w:lvlJc w:val="left"/>
      <w:pPr>
        <w:tabs>
          <w:tab w:val="num" w:pos="2160"/>
        </w:tabs>
        <w:ind w:left="2160" w:hanging="360"/>
      </w:pPr>
      <w:rPr>
        <w:rFonts w:ascii="Arial" w:hAnsi="Arial" w:hint="default"/>
      </w:rPr>
    </w:lvl>
    <w:lvl w:ilvl="3" w:tplc="C840B6BC" w:tentative="1">
      <w:start w:val="1"/>
      <w:numFmt w:val="bullet"/>
      <w:lvlText w:val="•"/>
      <w:lvlJc w:val="left"/>
      <w:pPr>
        <w:tabs>
          <w:tab w:val="num" w:pos="2880"/>
        </w:tabs>
        <w:ind w:left="2880" w:hanging="360"/>
      </w:pPr>
      <w:rPr>
        <w:rFonts w:ascii="Arial" w:hAnsi="Arial" w:hint="default"/>
      </w:rPr>
    </w:lvl>
    <w:lvl w:ilvl="4" w:tplc="DCAC4CE0" w:tentative="1">
      <w:start w:val="1"/>
      <w:numFmt w:val="bullet"/>
      <w:lvlText w:val="•"/>
      <w:lvlJc w:val="left"/>
      <w:pPr>
        <w:tabs>
          <w:tab w:val="num" w:pos="3600"/>
        </w:tabs>
        <w:ind w:left="3600" w:hanging="360"/>
      </w:pPr>
      <w:rPr>
        <w:rFonts w:ascii="Arial" w:hAnsi="Arial" w:hint="default"/>
      </w:rPr>
    </w:lvl>
    <w:lvl w:ilvl="5" w:tplc="80548526" w:tentative="1">
      <w:start w:val="1"/>
      <w:numFmt w:val="bullet"/>
      <w:lvlText w:val="•"/>
      <w:lvlJc w:val="left"/>
      <w:pPr>
        <w:tabs>
          <w:tab w:val="num" w:pos="4320"/>
        </w:tabs>
        <w:ind w:left="4320" w:hanging="360"/>
      </w:pPr>
      <w:rPr>
        <w:rFonts w:ascii="Arial" w:hAnsi="Arial" w:hint="default"/>
      </w:rPr>
    </w:lvl>
    <w:lvl w:ilvl="6" w:tplc="71B49554" w:tentative="1">
      <w:start w:val="1"/>
      <w:numFmt w:val="bullet"/>
      <w:lvlText w:val="•"/>
      <w:lvlJc w:val="left"/>
      <w:pPr>
        <w:tabs>
          <w:tab w:val="num" w:pos="5040"/>
        </w:tabs>
        <w:ind w:left="5040" w:hanging="360"/>
      </w:pPr>
      <w:rPr>
        <w:rFonts w:ascii="Arial" w:hAnsi="Arial" w:hint="default"/>
      </w:rPr>
    </w:lvl>
    <w:lvl w:ilvl="7" w:tplc="310283EC" w:tentative="1">
      <w:start w:val="1"/>
      <w:numFmt w:val="bullet"/>
      <w:lvlText w:val="•"/>
      <w:lvlJc w:val="left"/>
      <w:pPr>
        <w:tabs>
          <w:tab w:val="num" w:pos="5760"/>
        </w:tabs>
        <w:ind w:left="5760" w:hanging="360"/>
      </w:pPr>
      <w:rPr>
        <w:rFonts w:ascii="Arial" w:hAnsi="Arial" w:hint="default"/>
      </w:rPr>
    </w:lvl>
    <w:lvl w:ilvl="8" w:tplc="77F679E4" w:tentative="1">
      <w:start w:val="1"/>
      <w:numFmt w:val="bullet"/>
      <w:lvlText w:val="•"/>
      <w:lvlJc w:val="left"/>
      <w:pPr>
        <w:tabs>
          <w:tab w:val="num" w:pos="6480"/>
        </w:tabs>
        <w:ind w:left="6480" w:hanging="360"/>
      </w:pPr>
      <w:rPr>
        <w:rFonts w:ascii="Arial" w:hAnsi="Arial" w:hint="default"/>
      </w:rPr>
    </w:lvl>
  </w:abstractNum>
  <w:num w:numId="1" w16cid:durableId="2080520625">
    <w:abstractNumId w:val="0"/>
  </w:num>
  <w:num w:numId="2" w16cid:durableId="1577206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76"/>
    <w:rsid w:val="00000E04"/>
    <w:rsid w:val="00001860"/>
    <w:rsid w:val="0000353D"/>
    <w:rsid w:val="00005B58"/>
    <w:rsid w:val="000072CD"/>
    <w:rsid w:val="00012018"/>
    <w:rsid w:val="00022214"/>
    <w:rsid w:val="00034C9E"/>
    <w:rsid w:val="000411E7"/>
    <w:rsid w:val="00045BF8"/>
    <w:rsid w:val="0004766D"/>
    <w:rsid w:val="00062318"/>
    <w:rsid w:val="000623ED"/>
    <w:rsid w:val="00072610"/>
    <w:rsid w:val="00085F57"/>
    <w:rsid w:val="000908B4"/>
    <w:rsid w:val="000933A8"/>
    <w:rsid w:val="00096120"/>
    <w:rsid w:val="00096320"/>
    <w:rsid w:val="000A1232"/>
    <w:rsid w:val="000A5F49"/>
    <w:rsid w:val="000A6D19"/>
    <w:rsid w:val="000C28CF"/>
    <w:rsid w:val="000C5F7C"/>
    <w:rsid w:val="000C7617"/>
    <w:rsid w:val="000D2C99"/>
    <w:rsid w:val="000D453E"/>
    <w:rsid w:val="000D58AE"/>
    <w:rsid w:val="000D7B67"/>
    <w:rsid w:val="000E2871"/>
    <w:rsid w:val="000E4DFB"/>
    <w:rsid w:val="000F6694"/>
    <w:rsid w:val="000F7C54"/>
    <w:rsid w:val="00105385"/>
    <w:rsid w:val="00105464"/>
    <w:rsid w:val="00114E37"/>
    <w:rsid w:val="00122ADF"/>
    <w:rsid w:val="001255AA"/>
    <w:rsid w:val="00132901"/>
    <w:rsid w:val="001355CC"/>
    <w:rsid w:val="001439C1"/>
    <w:rsid w:val="0016059B"/>
    <w:rsid w:val="001723AC"/>
    <w:rsid w:val="00172E09"/>
    <w:rsid w:val="00183335"/>
    <w:rsid w:val="001A386B"/>
    <w:rsid w:val="001A3B51"/>
    <w:rsid w:val="001A5A3D"/>
    <w:rsid w:val="001B5120"/>
    <w:rsid w:val="001C3C46"/>
    <w:rsid w:val="001D5435"/>
    <w:rsid w:val="001E058F"/>
    <w:rsid w:val="001E0A27"/>
    <w:rsid w:val="001E10C9"/>
    <w:rsid w:val="001E6584"/>
    <w:rsid w:val="0020082B"/>
    <w:rsid w:val="00202136"/>
    <w:rsid w:val="00207467"/>
    <w:rsid w:val="00214CE8"/>
    <w:rsid w:val="00224C39"/>
    <w:rsid w:val="00225109"/>
    <w:rsid w:val="00241EBC"/>
    <w:rsid w:val="0024279C"/>
    <w:rsid w:val="002445D1"/>
    <w:rsid w:val="002450C7"/>
    <w:rsid w:val="00257CB7"/>
    <w:rsid w:val="00265652"/>
    <w:rsid w:val="00274CF5"/>
    <w:rsid w:val="00282C3F"/>
    <w:rsid w:val="00286E6B"/>
    <w:rsid w:val="002919B9"/>
    <w:rsid w:val="0029617F"/>
    <w:rsid w:val="002A21CA"/>
    <w:rsid w:val="002A597B"/>
    <w:rsid w:val="002A7874"/>
    <w:rsid w:val="002B11D2"/>
    <w:rsid w:val="002C34B0"/>
    <w:rsid w:val="002D0156"/>
    <w:rsid w:val="002D2764"/>
    <w:rsid w:val="002D6347"/>
    <w:rsid w:val="002E3994"/>
    <w:rsid w:val="002E4C20"/>
    <w:rsid w:val="002F4E11"/>
    <w:rsid w:val="002F5DA2"/>
    <w:rsid w:val="002F71CF"/>
    <w:rsid w:val="00300F74"/>
    <w:rsid w:val="00303BB5"/>
    <w:rsid w:val="00305F6E"/>
    <w:rsid w:val="00314580"/>
    <w:rsid w:val="00314F16"/>
    <w:rsid w:val="00322DAE"/>
    <w:rsid w:val="003457EE"/>
    <w:rsid w:val="0036136D"/>
    <w:rsid w:val="003707EA"/>
    <w:rsid w:val="00373B40"/>
    <w:rsid w:val="00382212"/>
    <w:rsid w:val="00385CE9"/>
    <w:rsid w:val="0038613F"/>
    <w:rsid w:val="00395A84"/>
    <w:rsid w:val="00396B82"/>
    <w:rsid w:val="003A1807"/>
    <w:rsid w:val="003A241E"/>
    <w:rsid w:val="003A4E11"/>
    <w:rsid w:val="003A7E21"/>
    <w:rsid w:val="003C60D9"/>
    <w:rsid w:val="003C7107"/>
    <w:rsid w:val="003D480C"/>
    <w:rsid w:val="003F1227"/>
    <w:rsid w:val="003F5623"/>
    <w:rsid w:val="003F563F"/>
    <w:rsid w:val="004036AE"/>
    <w:rsid w:val="0040399B"/>
    <w:rsid w:val="0040409E"/>
    <w:rsid w:val="004157DE"/>
    <w:rsid w:val="00420A64"/>
    <w:rsid w:val="00423608"/>
    <w:rsid w:val="00425442"/>
    <w:rsid w:val="00426444"/>
    <w:rsid w:val="00432E25"/>
    <w:rsid w:val="004438D5"/>
    <w:rsid w:val="00454E34"/>
    <w:rsid w:val="00456457"/>
    <w:rsid w:val="004570EC"/>
    <w:rsid w:val="00462E0D"/>
    <w:rsid w:val="004638CB"/>
    <w:rsid w:val="00466971"/>
    <w:rsid w:val="0049224B"/>
    <w:rsid w:val="00493CC9"/>
    <w:rsid w:val="004A365F"/>
    <w:rsid w:val="004A4753"/>
    <w:rsid w:val="004B2F45"/>
    <w:rsid w:val="004B3975"/>
    <w:rsid w:val="004B52A0"/>
    <w:rsid w:val="004C2064"/>
    <w:rsid w:val="004C6F29"/>
    <w:rsid w:val="004D1E89"/>
    <w:rsid w:val="004D6D20"/>
    <w:rsid w:val="004E0AC4"/>
    <w:rsid w:val="004E4A53"/>
    <w:rsid w:val="004E5C36"/>
    <w:rsid w:val="004E64F0"/>
    <w:rsid w:val="004F4355"/>
    <w:rsid w:val="004F6933"/>
    <w:rsid w:val="004F7C56"/>
    <w:rsid w:val="00505B64"/>
    <w:rsid w:val="005139BB"/>
    <w:rsid w:val="00517C2F"/>
    <w:rsid w:val="0052617F"/>
    <w:rsid w:val="0052697C"/>
    <w:rsid w:val="0053167A"/>
    <w:rsid w:val="005341F2"/>
    <w:rsid w:val="005355BA"/>
    <w:rsid w:val="0054013E"/>
    <w:rsid w:val="0054577C"/>
    <w:rsid w:val="005551F2"/>
    <w:rsid w:val="0055744F"/>
    <w:rsid w:val="00563603"/>
    <w:rsid w:val="005711CB"/>
    <w:rsid w:val="005866FA"/>
    <w:rsid w:val="005977A8"/>
    <w:rsid w:val="005A4A2B"/>
    <w:rsid w:val="005A597F"/>
    <w:rsid w:val="005C16CC"/>
    <w:rsid w:val="005C427E"/>
    <w:rsid w:val="005D04FF"/>
    <w:rsid w:val="005D3700"/>
    <w:rsid w:val="005D742C"/>
    <w:rsid w:val="005E4B6C"/>
    <w:rsid w:val="005F2B90"/>
    <w:rsid w:val="005F79C2"/>
    <w:rsid w:val="00600BC0"/>
    <w:rsid w:val="006024A2"/>
    <w:rsid w:val="006063D0"/>
    <w:rsid w:val="006124C5"/>
    <w:rsid w:val="00631687"/>
    <w:rsid w:val="00632399"/>
    <w:rsid w:val="00644588"/>
    <w:rsid w:val="00650C28"/>
    <w:rsid w:val="00662B09"/>
    <w:rsid w:val="00671FA2"/>
    <w:rsid w:val="00674600"/>
    <w:rsid w:val="00675835"/>
    <w:rsid w:val="00675DB3"/>
    <w:rsid w:val="00681B57"/>
    <w:rsid w:val="00685AEB"/>
    <w:rsid w:val="0069383C"/>
    <w:rsid w:val="00697B87"/>
    <w:rsid w:val="006A3788"/>
    <w:rsid w:val="006A6F7F"/>
    <w:rsid w:val="006A77E8"/>
    <w:rsid w:val="006B3A7C"/>
    <w:rsid w:val="006B54CA"/>
    <w:rsid w:val="006B7C2A"/>
    <w:rsid w:val="006C04FE"/>
    <w:rsid w:val="006D0FA1"/>
    <w:rsid w:val="006E2E12"/>
    <w:rsid w:val="006E346B"/>
    <w:rsid w:val="006E5E17"/>
    <w:rsid w:val="006E76C7"/>
    <w:rsid w:val="007007D1"/>
    <w:rsid w:val="00702F1C"/>
    <w:rsid w:val="0071253E"/>
    <w:rsid w:val="00713648"/>
    <w:rsid w:val="00725AE8"/>
    <w:rsid w:val="00733F59"/>
    <w:rsid w:val="00745463"/>
    <w:rsid w:val="00761636"/>
    <w:rsid w:val="00764288"/>
    <w:rsid w:val="0076612A"/>
    <w:rsid w:val="00766C41"/>
    <w:rsid w:val="00777E9E"/>
    <w:rsid w:val="00787641"/>
    <w:rsid w:val="00791887"/>
    <w:rsid w:val="007927C9"/>
    <w:rsid w:val="007A0A45"/>
    <w:rsid w:val="007C2421"/>
    <w:rsid w:val="007C450E"/>
    <w:rsid w:val="007C6437"/>
    <w:rsid w:val="007D244D"/>
    <w:rsid w:val="007F3B03"/>
    <w:rsid w:val="007F463D"/>
    <w:rsid w:val="007F698D"/>
    <w:rsid w:val="008015DF"/>
    <w:rsid w:val="00815217"/>
    <w:rsid w:val="00822149"/>
    <w:rsid w:val="008277DA"/>
    <w:rsid w:val="00827E50"/>
    <w:rsid w:val="00832D8C"/>
    <w:rsid w:val="008346FE"/>
    <w:rsid w:val="00843365"/>
    <w:rsid w:val="00847AC0"/>
    <w:rsid w:val="0085672D"/>
    <w:rsid w:val="00866B4F"/>
    <w:rsid w:val="00870316"/>
    <w:rsid w:val="00871496"/>
    <w:rsid w:val="00876156"/>
    <w:rsid w:val="0088143C"/>
    <w:rsid w:val="00884B9E"/>
    <w:rsid w:val="00885283"/>
    <w:rsid w:val="008910D0"/>
    <w:rsid w:val="008A0B95"/>
    <w:rsid w:val="008A1179"/>
    <w:rsid w:val="008A4666"/>
    <w:rsid w:val="008B3638"/>
    <w:rsid w:val="008B6DCF"/>
    <w:rsid w:val="008C0D39"/>
    <w:rsid w:val="008C5BF5"/>
    <w:rsid w:val="008C64FC"/>
    <w:rsid w:val="008C7277"/>
    <w:rsid w:val="008E0E50"/>
    <w:rsid w:val="008E7063"/>
    <w:rsid w:val="008E7A17"/>
    <w:rsid w:val="008F3519"/>
    <w:rsid w:val="008F59AC"/>
    <w:rsid w:val="008F693F"/>
    <w:rsid w:val="00901110"/>
    <w:rsid w:val="00903AE3"/>
    <w:rsid w:val="00903D9B"/>
    <w:rsid w:val="00905DF0"/>
    <w:rsid w:val="009258BF"/>
    <w:rsid w:val="0093075E"/>
    <w:rsid w:val="00931617"/>
    <w:rsid w:val="00936AA2"/>
    <w:rsid w:val="00942F44"/>
    <w:rsid w:val="0094581F"/>
    <w:rsid w:val="009466EE"/>
    <w:rsid w:val="00950B77"/>
    <w:rsid w:val="00955366"/>
    <w:rsid w:val="0095645D"/>
    <w:rsid w:val="009634CA"/>
    <w:rsid w:val="009743BC"/>
    <w:rsid w:val="00974740"/>
    <w:rsid w:val="00975A5E"/>
    <w:rsid w:val="009A78A5"/>
    <w:rsid w:val="009D1729"/>
    <w:rsid w:val="009E37C0"/>
    <w:rsid w:val="009E3AB2"/>
    <w:rsid w:val="009F5F80"/>
    <w:rsid w:val="00A04C9D"/>
    <w:rsid w:val="00A14DBD"/>
    <w:rsid w:val="00A150C8"/>
    <w:rsid w:val="00A26E7D"/>
    <w:rsid w:val="00A36ED1"/>
    <w:rsid w:val="00A3778D"/>
    <w:rsid w:val="00A45C6E"/>
    <w:rsid w:val="00A460EC"/>
    <w:rsid w:val="00A46E3A"/>
    <w:rsid w:val="00A5365E"/>
    <w:rsid w:val="00A54FC1"/>
    <w:rsid w:val="00A64661"/>
    <w:rsid w:val="00A65C97"/>
    <w:rsid w:val="00A717F6"/>
    <w:rsid w:val="00A72844"/>
    <w:rsid w:val="00A760D5"/>
    <w:rsid w:val="00A775A5"/>
    <w:rsid w:val="00A878A4"/>
    <w:rsid w:val="00AB6EAA"/>
    <w:rsid w:val="00AE045E"/>
    <w:rsid w:val="00AE1048"/>
    <w:rsid w:val="00AE6D4A"/>
    <w:rsid w:val="00B025E6"/>
    <w:rsid w:val="00B05433"/>
    <w:rsid w:val="00B05897"/>
    <w:rsid w:val="00B2210D"/>
    <w:rsid w:val="00B257E0"/>
    <w:rsid w:val="00B40803"/>
    <w:rsid w:val="00B427B8"/>
    <w:rsid w:val="00B43D85"/>
    <w:rsid w:val="00B50BD2"/>
    <w:rsid w:val="00B55928"/>
    <w:rsid w:val="00B61761"/>
    <w:rsid w:val="00B71500"/>
    <w:rsid w:val="00B71E76"/>
    <w:rsid w:val="00B7433F"/>
    <w:rsid w:val="00B91647"/>
    <w:rsid w:val="00B91A3F"/>
    <w:rsid w:val="00B95C90"/>
    <w:rsid w:val="00B964B0"/>
    <w:rsid w:val="00B96BC6"/>
    <w:rsid w:val="00BB0685"/>
    <w:rsid w:val="00BB3D2D"/>
    <w:rsid w:val="00BB489A"/>
    <w:rsid w:val="00BB4CA2"/>
    <w:rsid w:val="00BB54F1"/>
    <w:rsid w:val="00BC1A78"/>
    <w:rsid w:val="00BD522F"/>
    <w:rsid w:val="00BD683D"/>
    <w:rsid w:val="00BE10FF"/>
    <w:rsid w:val="00BE5976"/>
    <w:rsid w:val="00BF65D7"/>
    <w:rsid w:val="00C05B15"/>
    <w:rsid w:val="00C138E7"/>
    <w:rsid w:val="00C16426"/>
    <w:rsid w:val="00C2519D"/>
    <w:rsid w:val="00C30AAD"/>
    <w:rsid w:val="00C36724"/>
    <w:rsid w:val="00C37D99"/>
    <w:rsid w:val="00C41258"/>
    <w:rsid w:val="00C454AD"/>
    <w:rsid w:val="00C50391"/>
    <w:rsid w:val="00C52A45"/>
    <w:rsid w:val="00C52FB2"/>
    <w:rsid w:val="00C541F2"/>
    <w:rsid w:val="00C54D04"/>
    <w:rsid w:val="00C65FFE"/>
    <w:rsid w:val="00C67363"/>
    <w:rsid w:val="00C67C4A"/>
    <w:rsid w:val="00C72487"/>
    <w:rsid w:val="00C72722"/>
    <w:rsid w:val="00C84B3D"/>
    <w:rsid w:val="00C93506"/>
    <w:rsid w:val="00C951D7"/>
    <w:rsid w:val="00CB2240"/>
    <w:rsid w:val="00CB435F"/>
    <w:rsid w:val="00CC130B"/>
    <w:rsid w:val="00CE43F4"/>
    <w:rsid w:val="00CF1D29"/>
    <w:rsid w:val="00CF2791"/>
    <w:rsid w:val="00CF3FA0"/>
    <w:rsid w:val="00CF5F95"/>
    <w:rsid w:val="00CF79C7"/>
    <w:rsid w:val="00D00A4B"/>
    <w:rsid w:val="00D07C46"/>
    <w:rsid w:val="00D260D8"/>
    <w:rsid w:val="00D30959"/>
    <w:rsid w:val="00D34769"/>
    <w:rsid w:val="00D44612"/>
    <w:rsid w:val="00D4669F"/>
    <w:rsid w:val="00D4681D"/>
    <w:rsid w:val="00D56EFA"/>
    <w:rsid w:val="00D622B0"/>
    <w:rsid w:val="00D628C7"/>
    <w:rsid w:val="00D66C41"/>
    <w:rsid w:val="00D6769E"/>
    <w:rsid w:val="00D71452"/>
    <w:rsid w:val="00D76ECA"/>
    <w:rsid w:val="00D82330"/>
    <w:rsid w:val="00D95CDE"/>
    <w:rsid w:val="00D96D0B"/>
    <w:rsid w:val="00D9762C"/>
    <w:rsid w:val="00DA0F48"/>
    <w:rsid w:val="00DC4088"/>
    <w:rsid w:val="00DD4297"/>
    <w:rsid w:val="00DD690D"/>
    <w:rsid w:val="00DE1036"/>
    <w:rsid w:val="00DE15ED"/>
    <w:rsid w:val="00DE330C"/>
    <w:rsid w:val="00DE6879"/>
    <w:rsid w:val="00DF09E4"/>
    <w:rsid w:val="00DF15C5"/>
    <w:rsid w:val="00DF5AA8"/>
    <w:rsid w:val="00E1030A"/>
    <w:rsid w:val="00E17956"/>
    <w:rsid w:val="00E24A4B"/>
    <w:rsid w:val="00E3312E"/>
    <w:rsid w:val="00E37802"/>
    <w:rsid w:val="00E42A56"/>
    <w:rsid w:val="00E458F0"/>
    <w:rsid w:val="00E57A1B"/>
    <w:rsid w:val="00E615A3"/>
    <w:rsid w:val="00E6475B"/>
    <w:rsid w:val="00E650C7"/>
    <w:rsid w:val="00E84706"/>
    <w:rsid w:val="00E90383"/>
    <w:rsid w:val="00E935D4"/>
    <w:rsid w:val="00E95475"/>
    <w:rsid w:val="00EC50CB"/>
    <w:rsid w:val="00ED038F"/>
    <w:rsid w:val="00ED24D3"/>
    <w:rsid w:val="00ED4976"/>
    <w:rsid w:val="00ED4AA4"/>
    <w:rsid w:val="00ED792C"/>
    <w:rsid w:val="00EE5746"/>
    <w:rsid w:val="00EF07FF"/>
    <w:rsid w:val="00EF7739"/>
    <w:rsid w:val="00F01C53"/>
    <w:rsid w:val="00F4023D"/>
    <w:rsid w:val="00F43BBF"/>
    <w:rsid w:val="00F62196"/>
    <w:rsid w:val="00F643E6"/>
    <w:rsid w:val="00F73AD3"/>
    <w:rsid w:val="00F75F49"/>
    <w:rsid w:val="00F81E11"/>
    <w:rsid w:val="00F82451"/>
    <w:rsid w:val="00F84603"/>
    <w:rsid w:val="00F8586F"/>
    <w:rsid w:val="00F85FFA"/>
    <w:rsid w:val="00F91157"/>
    <w:rsid w:val="00F96C31"/>
    <w:rsid w:val="00FA7FFA"/>
    <w:rsid w:val="00FB54C6"/>
    <w:rsid w:val="00FC29E9"/>
    <w:rsid w:val="00FD78F9"/>
    <w:rsid w:val="00FF1DA0"/>
    <w:rsid w:val="00FF2338"/>
    <w:rsid w:val="00FF4F23"/>
    <w:rsid w:val="00FF726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3DD833"/>
  <w15:chartTrackingRefBased/>
  <w15:docId w15:val="{8D63DEC6-CEFA-4B19-8889-C306AD4D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4581F"/>
    <w:pPr>
      <w:spacing w:before="100" w:beforeAutospacing="1" w:after="100" w:afterAutospacing="1" w:line="240" w:lineRule="auto"/>
    </w:pPr>
    <w:rPr>
      <w:rFonts w:ascii="Times New Roman" w:eastAsia="Times New Roman" w:hAnsi="Times New Roman" w:cs="Times New Roman"/>
      <w:sz w:val="24"/>
      <w:szCs w:val="24"/>
      <w:lang w:eastAsia="pt-PT"/>
    </w:rPr>
  </w:style>
  <w:style w:type="table" w:styleId="TabelacomGrelha">
    <w:name w:val="Table Grid"/>
    <w:basedOn w:val="Tabelanormal"/>
    <w:uiPriority w:val="39"/>
    <w:rsid w:val="00C4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E90383"/>
    <w:rPr>
      <w:color w:val="0563C1" w:themeColor="hyperlink"/>
      <w:u w:val="single"/>
    </w:rPr>
  </w:style>
  <w:style w:type="character" w:styleId="MenoNoResolvida">
    <w:name w:val="Unresolved Mention"/>
    <w:basedOn w:val="Tipodeletrapredefinidodopargrafo"/>
    <w:uiPriority w:val="99"/>
    <w:semiHidden/>
    <w:unhideWhenUsed/>
    <w:rsid w:val="00E90383"/>
    <w:rPr>
      <w:color w:val="605E5C"/>
      <w:shd w:val="clear" w:color="auto" w:fill="E1DFDD"/>
    </w:rPr>
  </w:style>
  <w:style w:type="paragraph" w:styleId="Cabealho">
    <w:name w:val="header"/>
    <w:basedOn w:val="Normal"/>
    <w:link w:val="CabealhoCarter"/>
    <w:uiPriority w:val="99"/>
    <w:unhideWhenUsed/>
    <w:rsid w:val="004F693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F6933"/>
  </w:style>
  <w:style w:type="paragraph" w:styleId="Rodap">
    <w:name w:val="footer"/>
    <w:basedOn w:val="Normal"/>
    <w:link w:val="RodapCarter"/>
    <w:uiPriority w:val="99"/>
    <w:unhideWhenUsed/>
    <w:rsid w:val="004F693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F6933"/>
  </w:style>
  <w:style w:type="table" w:styleId="TabeladeLista2-Destaque3">
    <w:name w:val="List Table 2 Accent 3"/>
    <w:basedOn w:val="Tabelanormal"/>
    <w:uiPriority w:val="47"/>
    <w:rsid w:val="004E0AC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argrafodaLista">
    <w:name w:val="List Paragraph"/>
    <w:aliases w:val="Texto justificado"/>
    <w:basedOn w:val="Normal"/>
    <w:uiPriority w:val="34"/>
    <w:qFormat/>
    <w:rsid w:val="00214CE8"/>
    <w:pPr>
      <w:ind w:left="720"/>
      <w:contextualSpacing/>
    </w:pPr>
  </w:style>
  <w:style w:type="paragraph" w:styleId="Legenda">
    <w:name w:val="caption"/>
    <w:aliases w:val="T Legenda"/>
    <w:basedOn w:val="Normal"/>
    <w:next w:val="Normal"/>
    <w:qFormat/>
    <w:rsid w:val="008B6DCF"/>
    <w:pPr>
      <w:spacing w:after="0" w:line="336" w:lineRule="auto"/>
      <w:jc w:val="center"/>
    </w:pPr>
    <w:rPr>
      <w:rFonts w:ascii="Times New Roman" w:eastAsia="Calibri" w:hAnsi="Times New Roman" w:cs="Gill Sans"/>
      <w:bCs/>
      <w:szCs w:val="20"/>
    </w:rPr>
  </w:style>
  <w:style w:type="character" w:styleId="Refdecomentrio">
    <w:name w:val="annotation reference"/>
    <w:basedOn w:val="Tipodeletrapredefinidodopargrafo"/>
    <w:uiPriority w:val="99"/>
    <w:semiHidden/>
    <w:unhideWhenUsed/>
    <w:rsid w:val="008B6DCF"/>
    <w:rPr>
      <w:sz w:val="16"/>
      <w:szCs w:val="16"/>
    </w:rPr>
  </w:style>
  <w:style w:type="paragraph" w:styleId="Textodecomentrio">
    <w:name w:val="annotation text"/>
    <w:basedOn w:val="Normal"/>
    <w:link w:val="TextodecomentrioCarter"/>
    <w:uiPriority w:val="99"/>
    <w:unhideWhenUsed/>
    <w:rsid w:val="008B6DCF"/>
    <w:pPr>
      <w:spacing w:after="0" w:line="240" w:lineRule="auto"/>
      <w:jc w:val="both"/>
    </w:pPr>
    <w:rPr>
      <w:rFonts w:ascii="Times New Roman" w:eastAsia="Calibri" w:hAnsi="Times New Roman" w:cs="Gill Sans"/>
      <w:sz w:val="20"/>
      <w:szCs w:val="20"/>
    </w:rPr>
  </w:style>
  <w:style w:type="character" w:customStyle="1" w:styleId="TextodecomentrioCarter">
    <w:name w:val="Texto de comentário Caráter"/>
    <w:basedOn w:val="Tipodeletrapredefinidodopargrafo"/>
    <w:link w:val="Textodecomentrio"/>
    <w:uiPriority w:val="99"/>
    <w:rsid w:val="008B6DCF"/>
    <w:rPr>
      <w:rFonts w:ascii="Times New Roman" w:eastAsia="Calibri" w:hAnsi="Times New Roman" w:cs="Gill Sans"/>
      <w:sz w:val="20"/>
      <w:szCs w:val="20"/>
    </w:rPr>
  </w:style>
  <w:style w:type="paragraph" w:styleId="Textodebalo">
    <w:name w:val="Balloon Text"/>
    <w:basedOn w:val="Normal"/>
    <w:link w:val="TextodebaloCarter"/>
    <w:uiPriority w:val="99"/>
    <w:semiHidden/>
    <w:unhideWhenUsed/>
    <w:rsid w:val="008B6DCF"/>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B6DCF"/>
    <w:rPr>
      <w:rFonts w:ascii="Segoe UI" w:hAnsi="Segoe UI" w:cs="Segoe UI"/>
      <w:sz w:val="18"/>
      <w:szCs w:val="18"/>
    </w:rPr>
  </w:style>
  <w:style w:type="paragraph" w:styleId="Assuntodecomentrio">
    <w:name w:val="annotation subject"/>
    <w:basedOn w:val="Textodecomentrio"/>
    <w:next w:val="Textodecomentrio"/>
    <w:link w:val="AssuntodecomentrioCarter"/>
    <w:uiPriority w:val="99"/>
    <w:semiHidden/>
    <w:unhideWhenUsed/>
    <w:rsid w:val="00936AA2"/>
    <w:pPr>
      <w:spacing w:after="160"/>
      <w:jc w:val="left"/>
    </w:pPr>
    <w:rPr>
      <w:rFonts w:asciiTheme="minorHAnsi" w:eastAsiaTheme="minorHAnsi" w:hAnsiTheme="minorHAnsi" w:cstheme="minorBidi"/>
      <w:b/>
      <w:bCs/>
    </w:rPr>
  </w:style>
  <w:style w:type="character" w:customStyle="1" w:styleId="AssuntodecomentrioCarter">
    <w:name w:val="Assunto de comentário Caráter"/>
    <w:basedOn w:val="TextodecomentrioCarter"/>
    <w:link w:val="Assuntodecomentrio"/>
    <w:uiPriority w:val="99"/>
    <w:semiHidden/>
    <w:rsid w:val="00936AA2"/>
    <w:rPr>
      <w:rFonts w:ascii="Times New Roman" w:eastAsia="Calibri" w:hAnsi="Times New Roman" w:cs="Gill Sans"/>
      <w:b/>
      <w:bCs/>
      <w:sz w:val="20"/>
      <w:szCs w:val="20"/>
    </w:rPr>
  </w:style>
  <w:style w:type="character" w:styleId="Forte">
    <w:name w:val="Strong"/>
    <w:basedOn w:val="Tipodeletrapredefinidodopargrafo"/>
    <w:uiPriority w:val="22"/>
    <w:qFormat/>
    <w:rsid w:val="008F693F"/>
    <w:rPr>
      <w:b/>
      <w:bCs/>
    </w:rPr>
  </w:style>
  <w:style w:type="character" w:styleId="Hiperligaovisitada">
    <w:name w:val="FollowedHyperlink"/>
    <w:basedOn w:val="Tipodeletrapredefinidodopargrafo"/>
    <w:uiPriority w:val="99"/>
    <w:semiHidden/>
    <w:unhideWhenUsed/>
    <w:rsid w:val="00AE6D4A"/>
    <w:rPr>
      <w:color w:val="954F72" w:themeColor="followedHyperlink"/>
      <w:u w:val="single"/>
    </w:rPr>
  </w:style>
  <w:style w:type="paragraph" w:styleId="HTMLpr-formatado">
    <w:name w:val="HTML Preformatted"/>
    <w:basedOn w:val="Normal"/>
    <w:link w:val="HTMLpr-formatadoCarter"/>
    <w:uiPriority w:val="99"/>
    <w:unhideWhenUsed/>
    <w:rsid w:val="00B6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rsid w:val="00B61761"/>
    <w:rPr>
      <w:rFonts w:ascii="Courier New" w:eastAsia="Times New Roman" w:hAnsi="Courier New" w:cs="Courier New"/>
      <w:sz w:val="20"/>
      <w:szCs w:val="20"/>
      <w:lang w:eastAsia="pt-PT"/>
    </w:rPr>
  </w:style>
  <w:style w:type="character" w:customStyle="1" w:styleId="y2iqfc">
    <w:name w:val="y2iqfc"/>
    <w:basedOn w:val="Tipodeletrapredefinidodopargrafo"/>
    <w:rsid w:val="00B61761"/>
  </w:style>
  <w:style w:type="character" w:styleId="Nmerodelinha">
    <w:name w:val="line number"/>
    <w:basedOn w:val="Tipodeletrapredefinidodopargrafo"/>
    <w:uiPriority w:val="99"/>
    <w:semiHidden/>
    <w:unhideWhenUsed/>
    <w:rsid w:val="00F91157"/>
  </w:style>
  <w:style w:type="character" w:styleId="nfase">
    <w:name w:val="Emphasis"/>
    <w:basedOn w:val="Tipodeletrapredefinidodopargrafo"/>
    <w:uiPriority w:val="20"/>
    <w:qFormat/>
    <w:rsid w:val="00D4669F"/>
    <w:rPr>
      <w:i/>
      <w:iCs/>
    </w:rPr>
  </w:style>
  <w:style w:type="paragraph" w:styleId="Ttulo">
    <w:name w:val="Title"/>
    <w:basedOn w:val="Normal"/>
    <w:next w:val="Normal"/>
    <w:link w:val="TtuloCarter"/>
    <w:qFormat/>
    <w:rsid w:val="00224C39"/>
    <w:pPr>
      <w:spacing w:after="120" w:line="240" w:lineRule="auto"/>
      <w:ind w:left="993"/>
    </w:pPr>
    <w:rPr>
      <w:rFonts w:ascii="Calibri" w:eastAsia="Times New Roman" w:hAnsi="Calibri" w:cs="Calibri"/>
      <w:b/>
      <w:caps/>
      <w:color w:val="000000"/>
      <w:sz w:val="28"/>
      <w:lang w:val="pt-BR"/>
    </w:rPr>
  </w:style>
  <w:style w:type="character" w:customStyle="1" w:styleId="TtuloCarter">
    <w:name w:val="Título Caráter"/>
    <w:basedOn w:val="Tipodeletrapredefinidodopargrafo"/>
    <w:link w:val="Ttulo"/>
    <w:rsid w:val="00224C39"/>
    <w:rPr>
      <w:rFonts w:ascii="Calibri" w:eastAsia="Times New Roman" w:hAnsi="Calibri" w:cs="Calibri"/>
      <w:b/>
      <w:caps/>
      <w:color w:val="000000"/>
      <w:sz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27817">
      <w:bodyDiv w:val="1"/>
      <w:marLeft w:val="0"/>
      <w:marRight w:val="0"/>
      <w:marTop w:val="0"/>
      <w:marBottom w:val="0"/>
      <w:divBdr>
        <w:top w:val="none" w:sz="0" w:space="0" w:color="auto"/>
        <w:left w:val="none" w:sz="0" w:space="0" w:color="auto"/>
        <w:bottom w:val="none" w:sz="0" w:space="0" w:color="auto"/>
        <w:right w:val="none" w:sz="0" w:space="0" w:color="auto"/>
      </w:divBdr>
    </w:div>
    <w:div w:id="434599857">
      <w:bodyDiv w:val="1"/>
      <w:marLeft w:val="0"/>
      <w:marRight w:val="0"/>
      <w:marTop w:val="0"/>
      <w:marBottom w:val="0"/>
      <w:divBdr>
        <w:top w:val="none" w:sz="0" w:space="0" w:color="auto"/>
        <w:left w:val="none" w:sz="0" w:space="0" w:color="auto"/>
        <w:bottom w:val="none" w:sz="0" w:space="0" w:color="auto"/>
        <w:right w:val="none" w:sz="0" w:space="0" w:color="auto"/>
      </w:divBdr>
    </w:div>
    <w:div w:id="438186682">
      <w:bodyDiv w:val="1"/>
      <w:marLeft w:val="0"/>
      <w:marRight w:val="0"/>
      <w:marTop w:val="0"/>
      <w:marBottom w:val="0"/>
      <w:divBdr>
        <w:top w:val="none" w:sz="0" w:space="0" w:color="auto"/>
        <w:left w:val="none" w:sz="0" w:space="0" w:color="auto"/>
        <w:bottom w:val="none" w:sz="0" w:space="0" w:color="auto"/>
        <w:right w:val="none" w:sz="0" w:space="0" w:color="auto"/>
      </w:divBdr>
    </w:div>
    <w:div w:id="439228971">
      <w:bodyDiv w:val="1"/>
      <w:marLeft w:val="0"/>
      <w:marRight w:val="0"/>
      <w:marTop w:val="0"/>
      <w:marBottom w:val="0"/>
      <w:divBdr>
        <w:top w:val="none" w:sz="0" w:space="0" w:color="auto"/>
        <w:left w:val="none" w:sz="0" w:space="0" w:color="auto"/>
        <w:bottom w:val="none" w:sz="0" w:space="0" w:color="auto"/>
        <w:right w:val="none" w:sz="0" w:space="0" w:color="auto"/>
      </w:divBdr>
    </w:div>
    <w:div w:id="725179221">
      <w:bodyDiv w:val="1"/>
      <w:marLeft w:val="0"/>
      <w:marRight w:val="0"/>
      <w:marTop w:val="0"/>
      <w:marBottom w:val="0"/>
      <w:divBdr>
        <w:top w:val="none" w:sz="0" w:space="0" w:color="auto"/>
        <w:left w:val="none" w:sz="0" w:space="0" w:color="auto"/>
        <w:bottom w:val="none" w:sz="0" w:space="0" w:color="auto"/>
        <w:right w:val="none" w:sz="0" w:space="0" w:color="auto"/>
      </w:divBdr>
    </w:div>
    <w:div w:id="1354726316">
      <w:bodyDiv w:val="1"/>
      <w:marLeft w:val="0"/>
      <w:marRight w:val="0"/>
      <w:marTop w:val="0"/>
      <w:marBottom w:val="0"/>
      <w:divBdr>
        <w:top w:val="none" w:sz="0" w:space="0" w:color="auto"/>
        <w:left w:val="none" w:sz="0" w:space="0" w:color="auto"/>
        <w:bottom w:val="none" w:sz="0" w:space="0" w:color="auto"/>
        <w:right w:val="none" w:sz="0" w:space="0" w:color="auto"/>
      </w:divBdr>
    </w:div>
    <w:div w:id="1523975085">
      <w:bodyDiv w:val="1"/>
      <w:marLeft w:val="0"/>
      <w:marRight w:val="0"/>
      <w:marTop w:val="0"/>
      <w:marBottom w:val="0"/>
      <w:divBdr>
        <w:top w:val="none" w:sz="0" w:space="0" w:color="auto"/>
        <w:left w:val="none" w:sz="0" w:space="0" w:color="auto"/>
        <w:bottom w:val="none" w:sz="0" w:space="0" w:color="auto"/>
        <w:right w:val="none" w:sz="0" w:space="0" w:color="auto"/>
      </w:divBdr>
    </w:div>
    <w:div w:id="1724479495">
      <w:bodyDiv w:val="1"/>
      <w:marLeft w:val="0"/>
      <w:marRight w:val="0"/>
      <w:marTop w:val="0"/>
      <w:marBottom w:val="0"/>
      <w:divBdr>
        <w:top w:val="none" w:sz="0" w:space="0" w:color="auto"/>
        <w:left w:val="none" w:sz="0" w:space="0" w:color="auto"/>
        <w:bottom w:val="none" w:sz="0" w:space="0" w:color="auto"/>
        <w:right w:val="none" w:sz="0" w:space="0" w:color="auto"/>
      </w:divBdr>
    </w:div>
    <w:div w:id="1864056618">
      <w:bodyDiv w:val="1"/>
      <w:marLeft w:val="0"/>
      <w:marRight w:val="0"/>
      <w:marTop w:val="0"/>
      <w:marBottom w:val="0"/>
      <w:divBdr>
        <w:top w:val="none" w:sz="0" w:space="0" w:color="auto"/>
        <w:left w:val="none" w:sz="0" w:space="0" w:color="auto"/>
        <w:bottom w:val="none" w:sz="0" w:space="0" w:color="auto"/>
        <w:right w:val="none" w:sz="0" w:space="0" w:color="auto"/>
      </w:divBdr>
    </w:div>
    <w:div w:id="1985546244">
      <w:bodyDiv w:val="1"/>
      <w:marLeft w:val="0"/>
      <w:marRight w:val="0"/>
      <w:marTop w:val="0"/>
      <w:marBottom w:val="0"/>
      <w:divBdr>
        <w:top w:val="none" w:sz="0" w:space="0" w:color="auto"/>
        <w:left w:val="none" w:sz="0" w:space="0" w:color="auto"/>
        <w:bottom w:val="none" w:sz="0" w:space="0" w:color="auto"/>
        <w:right w:val="none" w:sz="0" w:space="0" w:color="auto"/>
      </w:divBdr>
      <w:divsChild>
        <w:div w:id="1690983425">
          <w:marLeft w:val="446"/>
          <w:marRight w:val="0"/>
          <w:marTop w:val="0"/>
          <w:marBottom w:val="0"/>
          <w:divBdr>
            <w:top w:val="none" w:sz="0" w:space="0" w:color="auto"/>
            <w:left w:val="none" w:sz="0" w:space="0" w:color="auto"/>
            <w:bottom w:val="none" w:sz="0" w:space="0" w:color="auto"/>
            <w:right w:val="none" w:sz="0" w:space="0" w:color="auto"/>
          </w:divBdr>
        </w:div>
        <w:div w:id="7377022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914/riis.v8i1.404" TargetMode="External"/><Relationship Id="rId18" Type="http://schemas.openxmlformats.org/officeDocument/2006/relationships/image" Target="media/image2.png"/><Relationship Id="rId26" Type="http://schemas.openxmlformats.org/officeDocument/2006/relationships/hyperlink" Target="http://doi.org/10.15446/av.enferm.v40n3.93397" TargetMode="External"/><Relationship Id="rId39" Type="http://schemas.openxmlformats.org/officeDocument/2006/relationships/hyperlink" Target="http://doi.org/10.1016/j.jhin.2021.04.019" TargetMode="External"/><Relationship Id="rId21" Type="http://schemas.openxmlformats.org/officeDocument/2006/relationships/hyperlink" Target="http://doi.org/10.55684/79.2.1687" TargetMode="External"/><Relationship Id="rId34" Type="http://schemas.openxmlformats.org/officeDocument/2006/relationships/hyperlink" Target="https://censos.ine.pt/xportal/xmain?xpid=INE&amp;xpgid=ine_publicacoes&amp;PUBLICACOESpub_boui=280978178&amp;PUBLICACOESmodo=2" TargetMode="External"/><Relationship Id="rId42" Type="http://schemas.openxmlformats.org/officeDocument/2006/relationships/hyperlink" Target="http://doi.org/10.12707/RIV18051" TargetMode="External"/><Relationship Id="rId47" Type="http://schemas.openxmlformats.org/officeDocument/2006/relationships/hyperlink" Target="http://doi.org/10.2106/JBJS.17.01405" TargetMode="External"/><Relationship Id="rId50" Type="http://schemas.openxmlformats.org/officeDocument/2006/relationships/hyperlink" Target="http://doi.org/10.15649/cuidarte.1292" TargetMode="External"/><Relationship Id="rId55" Type="http://schemas.openxmlformats.org/officeDocument/2006/relationships/hyperlink" Target="https://www.who.int/news-room/fact-sheets/detail/osteoarthriti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normas.dgs.min-saude.pt/wp-content/uploads/2015/12/norma_020_2015_atualizada_17_11_2022_prev_inf_local_cirurgico.pdf" TargetMode="External"/><Relationship Id="rId11" Type="http://schemas.openxmlformats.org/officeDocument/2006/relationships/hyperlink" Target="https://orcid.org/0000-0002-4328-3755" TargetMode="External"/><Relationship Id="rId24" Type="http://schemas.openxmlformats.org/officeDocument/2006/relationships/hyperlink" Target="http://doi.org/10.1136/rmdopen-2015-000166" TargetMode="External"/><Relationship Id="rId32" Type="http://schemas.openxmlformats.org/officeDocument/2006/relationships/hyperlink" Target="http://doi.org/10.33448/rsd-v10i2.12592" TargetMode="External"/><Relationship Id="rId37" Type="http://schemas.openxmlformats.org/officeDocument/2006/relationships/hyperlink" Target="https://revistaeletronicafunvic.org/index.php/c14ffd10/article/view/278" TargetMode="External"/><Relationship Id="rId40" Type="http://schemas.openxmlformats.org/officeDocument/2006/relationships/hyperlink" Target="http://doi.org/10.1111/iwj.12640" TargetMode="External"/><Relationship Id="rId45" Type="http://schemas.openxmlformats.org/officeDocument/2006/relationships/hyperlink" Target="http://doi.org/10.11124/JBIES-21-00242" TargetMode="External"/><Relationship Id="rId53" Type="http://schemas.openxmlformats.org/officeDocument/2006/relationships/hyperlink" Target="http://doi.org/10.1055/s-0041-1736309"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doi.org/10.1007/s11999-010-1737-2" TargetMode="External"/><Relationship Id="rId4" Type="http://schemas.openxmlformats.org/officeDocument/2006/relationships/settings" Target="settings.xml"/><Relationship Id="rId9" Type="http://schemas.openxmlformats.org/officeDocument/2006/relationships/hyperlink" Target="mailto:lucianaforte@gmail.com" TargetMode="External"/><Relationship Id="rId14" Type="http://schemas.openxmlformats.org/officeDocument/2006/relationships/header" Target="header1.xml"/><Relationship Id="rId22" Type="http://schemas.openxmlformats.org/officeDocument/2006/relationships/hyperlink" Target="https://alterg.com/wp-content/uploads/2018/06/Total-Knee-Arthroplasty.pdf" TargetMode="External"/><Relationship Id="rId27" Type="http://schemas.openxmlformats.org/officeDocument/2006/relationships/hyperlink" Target="https://dre.pt/web/guest/pesquisa/-/search/171891094/details/maximized" TargetMode="External"/><Relationship Id="rId30" Type="http://schemas.openxmlformats.org/officeDocument/2006/relationships/hyperlink" Target="https://www.ecdc.europa.eu/sites/default/files/documents/AER_for_2017-SSI.pdf" TargetMode="External"/><Relationship Id="rId35" Type="http://schemas.openxmlformats.org/officeDocument/2006/relationships/hyperlink" Target="http://doi.org/10.7759/cureus.44587" TargetMode="External"/><Relationship Id="rId43" Type="http://schemas.openxmlformats.org/officeDocument/2006/relationships/hyperlink" Target="https://hdl.handle.net/10216/76726" TargetMode="External"/><Relationship Id="rId48" Type="http://schemas.openxmlformats.org/officeDocument/2006/relationships/hyperlink" Target="http://doi.org/10.1007/s00167-018-5231-9" TargetMode="External"/><Relationship Id="rId56" Type="http://schemas.openxmlformats.org/officeDocument/2006/relationships/hyperlink" Target="http://doi.org/10.1097/md.0000000000019283" TargetMode="External"/><Relationship Id="rId8" Type="http://schemas.openxmlformats.org/officeDocument/2006/relationships/hyperlink" Target="https://orcid.org/0000-0002-4328-3755" TargetMode="External"/><Relationship Id="rId51" Type="http://schemas.openxmlformats.org/officeDocument/2006/relationships/hyperlink" Target="http://doi.org/10.9789/2175-5361.rpcfo.v13.9692" TargetMode="External"/><Relationship Id="rId3" Type="http://schemas.openxmlformats.org/officeDocument/2006/relationships/styles" Target="styles.xml"/><Relationship Id="rId12" Type="http://schemas.openxmlformats.org/officeDocument/2006/relationships/hyperlink" Target="mailto:lucianaforte@gmail.com" TargetMode="External"/><Relationship Id="rId17" Type="http://schemas.openxmlformats.org/officeDocument/2006/relationships/footer" Target="footer2.xml"/><Relationship Id="rId25" Type="http://schemas.openxmlformats.org/officeDocument/2006/relationships/hyperlink" Target="http://doi.org/10.1590/1518-8345.1502.2848" TargetMode="External"/><Relationship Id="rId33" Type="http://schemas.openxmlformats.org/officeDocument/2006/relationships/hyperlink" Target="http://doi.org/10.1186/s12891-020-03510-z" TargetMode="External"/><Relationship Id="rId38" Type="http://schemas.openxmlformats.org/officeDocument/2006/relationships/hyperlink" Target="http://doi.org/10.1086/428626" TargetMode="External"/><Relationship Id="rId46" Type="http://schemas.openxmlformats.org/officeDocument/2006/relationships/hyperlink" Target="http://doi.org/10.26355/eurrev_201904_17471" TargetMode="External"/><Relationship Id="rId20" Type="http://schemas.openxmlformats.org/officeDocument/2006/relationships/hyperlink" Target="https://doi.org/10.1371/journal.pone.0260146" TargetMode="External"/><Relationship Id="rId41" Type="http://schemas.openxmlformats.org/officeDocument/2006/relationships/hyperlink" Target="http://doi.org/10.1016/j.jpain.2009.06.012~" TargetMode="External"/><Relationship Id="rId54" Type="http://schemas.openxmlformats.org/officeDocument/2006/relationships/hyperlink" Target="http://doi.org/10.7326/M18-085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doi.org/10.1007/s11999-011-2043-3" TargetMode="External"/><Relationship Id="rId28" Type="http://schemas.openxmlformats.org/officeDocument/2006/relationships/hyperlink" Target="https://www.dgs.pt/programa-nacional-de-controlo-da-infeccao/relatorios/infecoes-e-resistencias-aos-antimicrobianos-2021-relatorio-anual-do-programa-prioritario-pdf.aspx" TargetMode="External"/><Relationship Id="rId36" Type="http://schemas.openxmlformats.org/officeDocument/2006/relationships/hyperlink" Target="http://doi.org/10.1097/md.0000000000014882" TargetMode="External"/><Relationship Id="rId49" Type="http://schemas.openxmlformats.org/officeDocument/2006/relationships/hyperlink" Target="https://www.herrero.com.br/files/revista/file1697952adda1ba567e1b860228dc424f.pdf" TargetMode="External"/><Relationship Id="rId57" Type="http://schemas.openxmlformats.org/officeDocument/2006/relationships/fontTable" Target="fontTable.xml"/><Relationship Id="rId10" Type="http://schemas.openxmlformats.org/officeDocument/2006/relationships/hyperlink" Target="https://doi.org/10.37914/riis.v8i1.404" TargetMode="External"/><Relationship Id="rId31" Type="http://schemas.openxmlformats.org/officeDocument/2006/relationships/hyperlink" Target="http://hdl.handle.net/10198/26365" TargetMode="External"/><Relationship Id="rId44" Type="http://schemas.openxmlformats.org/officeDocument/2006/relationships/hyperlink" Target="http://doi.org/10.1055/s-0042-1753534" TargetMode="External"/><Relationship Id="rId52" Type="http://schemas.openxmlformats.org/officeDocument/2006/relationships/hyperlink" Target="https://doi.org/10.1097/SLA.000000000000567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37914/riis.v8i1.40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Ins23</b:Tag>
    <b:SourceType>ArticleInAPeriodical</b:SourceType>
    <b:Guid>{5037A845-936D-4545-8844-D784692C22AB}</b:Guid>
    <b:Author>
      <b:Author>
        <b:NameList>
          <b:Person>
            <b:Last>Instituto Nacional de Estatística</b:Last>
            <b:First>IP</b:First>
          </b:Person>
        </b:NameList>
      </b:Author>
      <b:Editor>
        <b:NameList>
          <b:Person>
            <b:Last>Instituto Nacional de Estatística</b:Last>
            <b:First>IP</b:First>
          </b:Person>
        </b:NameList>
      </b:Editor>
    </b:Author>
    <b:Title>Estatísticas Demográficas - 2022</b:Title>
    <b:Year>2023</b:Year>
    <b:ShortTitle>INE</b:ShortTitle>
    <b:YearAccessed>2024</b:YearAccessed>
    <b:MonthAccessed>fevereiro</b:MonthAccessed>
    <b:DayAccessed>18</b:DayAccessed>
    <b:URL>file:///C:/Users/Utilizador/Downloads/ED2022.pdf</b:URL>
    <b:RefOrder>22</b:RefOrder>
  </b:Source>
</b:Sources>
</file>

<file path=customXml/itemProps1.xml><?xml version="1.0" encoding="utf-8"?>
<ds:datastoreItem xmlns:ds="http://schemas.openxmlformats.org/officeDocument/2006/customXml" ds:itemID="{B3C32A2C-98D5-46DE-91EE-01AD517793BC}">
  <ds:schemaRefs>
    <ds:schemaRef ds:uri="http://schemas.openxmlformats.org/officeDocument/2006/bibliography"/>
  </ds:schemaRefs>
</ds:datastoreItem>
</file>

<file path=docMetadata/LabelInfo.xml><?xml version="1.0" encoding="utf-8"?>
<clbl:labelList xmlns:clbl="http://schemas.microsoft.com/office/2020/mipLabelMetadata">
  <clbl:label id="{2036b4c1-6743-4125-b28d-e58563934327}" enabled="0" method="" siteId="{2036b4c1-6743-4125-b28d-e58563934327}"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15</Pages>
  <Words>8061</Words>
  <Characters>43534</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Forte</dc:creator>
  <cp:keywords/>
  <dc:description/>
  <cp:lastModifiedBy>SDIB</cp:lastModifiedBy>
  <cp:revision>4</cp:revision>
  <dcterms:created xsi:type="dcterms:W3CDTF">2025-06-11T14:27:00Z</dcterms:created>
  <dcterms:modified xsi:type="dcterms:W3CDTF">2025-06-17T15:26:00Z</dcterms:modified>
</cp:coreProperties>
</file>