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4C30" w14:textId="5B5FD03C" w:rsidR="00A64661" w:rsidRPr="00B77BD6" w:rsidRDefault="00B77BD6" w:rsidP="00B77BD6">
      <w:pPr>
        <w:pStyle w:val="Ttulo"/>
        <w:ind w:left="-170" w:right="-170"/>
        <w:jc w:val="both"/>
        <w:rPr>
          <w:rFonts w:asciiTheme="minorHAnsi" w:hAnsiTheme="minorHAnsi" w:cstheme="minorHAnsi"/>
          <w:bCs/>
          <w:caps w:val="0"/>
          <w:color w:val="auto"/>
          <w:sz w:val="22"/>
          <w:lang w:val="pt-PT"/>
        </w:rPr>
      </w:pPr>
      <w:r w:rsidRPr="00B77BD6">
        <w:rPr>
          <w:rFonts w:asciiTheme="minorHAnsi" w:hAnsiTheme="minorHAnsi" w:cstheme="minorHAnsi"/>
          <w:bCs/>
          <w:caps w:val="0"/>
          <w:color w:val="auto"/>
          <w:sz w:val="22"/>
          <w:lang w:val="pt-PT"/>
        </w:rPr>
        <w:t>FATORES DE RISCO DE ILC APÓS ARTROPLASTIA DO JOELHO: SCOPING REVIEW</w:t>
      </w:r>
    </w:p>
    <w:p w14:paraId="05D2A711" w14:textId="7CFF22DB" w:rsidR="00454E34" w:rsidRPr="00C5502A" w:rsidRDefault="00B61761" w:rsidP="00BF13E7">
      <w:pPr>
        <w:spacing w:after="120" w:line="240" w:lineRule="auto"/>
        <w:ind w:left="-170" w:right="-170"/>
        <w:rPr>
          <w:rFonts w:cstheme="minorHAnsi"/>
          <w:lang w:val="en-US"/>
        </w:rPr>
      </w:pPr>
      <w:r w:rsidRPr="00BF13E7">
        <w:rPr>
          <w:rFonts w:cstheme="minorHAnsi"/>
          <w:lang w:val="en-US"/>
        </w:rPr>
        <w:t xml:space="preserve">Risk factors for </w:t>
      </w:r>
      <w:r w:rsidR="00901110" w:rsidRPr="00BF13E7">
        <w:rPr>
          <w:rFonts w:cstheme="minorHAnsi"/>
          <w:lang w:val="en-US"/>
        </w:rPr>
        <w:t>SSI</w:t>
      </w:r>
      <w:r w:rsidRPr="00BF13E7">
        <w:rPr>
          <w:rFonts w:cstheme="minorHAnsi"/>
          <w:lang w:val="en-US"/>
        </w:rPr>
        <w:t xml:space="preserve"> after </w:t>
      </w:r>
      <w:r w:rsidRPr="00C5502A">
        <w:rPr>
          <w:rFonts w:cstheme="minorHAnsi"/>
          <w:lang w:val="en-US"/>
        </w:rPr>
        <w:t>Knee Replacement Arthroplasty</w:t>
      </w:r>
      <w:r w:rsidRPr="00BF13E7">
        <w:rPr>
          <w:rFonts w:cstheme="minorHAnsi"/>
          <w:lang w:val="en-US"/>
        </w:rPr>
        <w:t>: scoping review</w:t>
      </w:r>
    </w:p>
    <w:p w14:paraId="28F0B480" w14:textId="4A11783C" w:rsidR="00454E34" w:rsidRPr="00AF0BBB" w:rsidRDefault="00B61761" w:rsidP="00D01799">
      <w:pPr>
        <w:spacing w:after="120" w:line="240" w:lineRule="auto"/>
        <w:ind w:left="-170" w:right="-170"/>
        <w:rPr>
          <w:rFonts w:cstheme="minorHAnsi"/>
        </w:rPr>
      </w:pPr>
      <w:proofErr w:type="spellStart"/>
      <w:r w:rsidRPr="00AF0BBB">
        <w:t>Factores</w:t>
      </w:r>
      <w:proofErr w:type="spellEnd"/>
      <w:r w:rsidRPr="00AF0BBB">
        <w:t xml:space="preserve"> de </w:t>
      </w:r>
      <w:proofErr w:type="spellStart"/>
      <w:r w:rsidRPr="00AF0BBB">
        <w:t>riesgo</w:t>
      </w:r>
      <w:proofErr w:type="spellEnd"/>
      <w:r w:rsidRPr="00AF0BBB">
        <w:t xml:space="preserve"> de </w:t>
      </w:r>
      <w:r w:rsidR="00901110" w:rsidRPr="00AF0BBB">
        <w:t>ISQ</w:t>
      </w:r>
      <w:r w:rsidRPr="00AF0BBB">
        <w:t xml:space="preserve"> </w:t>
      </w:r>
      <w:proofErr w:type="spellStart"/>
      <w:r w:rsidRPr="00AF0BBB">
        <w:t>después</w:t>
      </w:r>
      <w:proofErr w:type="spellEnd"/>
      <w:r w:rsidRPr="00AF0BBB">
        <w:t xml:space="preserve"> de una </w:t>
      </w:r>
      <w:proofErr w:type="spellStart"/>
      <w:r w:rsidRPr="00AF0BBB">
        <w:t>artroplastia</w:t>
      </w:r>
      <w:proofErr w:type="spellEnd"/>
      <w:r w:rsidRPr="00AF0BBB">
        <w:t xml:space="preserve"> de </w:t>
      </w:r>
      <w:proofErr w:type="spellStart"/>
      <w:r w:rsidRPr="00AF0BBB">
        <w:t>rodilla</w:t>
      </w:r>
      <w:proofErr w:type="spellEnd"/>
      <w:r w:rsidRPr="00AF0BBB">
        <w:t xml:space="preserve">: </w:t>
      </w:r>
      <w:proofErr w:type="spellStart"/>
      <w:r w:rsidRPr="00AF0BBB">
        <w:t>revisión</w:t>
      </w:r>
      <w:proofErr w:type="spellEnd"/>
      <w:r w:rsidRPr="00AF0BBB">
        <w:t xml:space="preserve"> </w:t>
      </w:r>
      <w:proofErr w:type="spellStart"/>
      <w:r w:rsidRPr="00AF0BBB">
        <w:t>del</w:t>
      </w:r>
      <w:proofErr w:type="spellEnd"/>
      <w:r w:rsidRPr="00AF0BBB">
        <w:t xml:space="preserve"> alcance</w:t>
      </w:r>
    </w:p>
    <w:p w14:paraId="0EE52B6F" w14:textId="77777777" w:rsidR="00D01799" w:rsidRPr="00AF0BBB" w:rsidRDefault="00D01799" w:rsidP="00D01799">
      <w:pPr>
        <w:spacing w:after="120" w:line="240" w:lineRule="auto"/>
        <w:ind w:left="-170" w:right="-170"/>
        <w:rPr>
          <w:rFonts w:cstheme="minorHAnsi"/>
          <w:sz w:val="20"/>
          <w:szCs w:val="20"/>
        </w:rPr>
      </w:pPr>
    </w:p>
    <w:p w14:paraId="587B77B3" w14:textId="0C9B9ABA" w:rsidR="00D01799" w:rsidRPr="00DC6A86" w:rsidRDefault="00042FD5" w:rsidP="00D01799">
      <w:pPr>
        <w:spacing w:after="0" w:line="240" w:lineRule="auto"/>
        <w:ind w:left="-170" w:right="-170"/>
        <w:jc w:val="both"/>
        <w:rPr>
          <w:rFonts w:cstheme="minorHAnsi"/>
        </w:rPr>
      </w:pPr>
      <w:r>
        <w:t>Luciana</w:t>
      </w:r>
      <w:r w:rsidR="007F165A">
        <w:t xml:space="preserve"> Forte</w:t>
      </w:r>
      <w:r w:rsidR="00D01799" w:rsidRPr="00DC6A86">
        <w:rPr>
          <w:rFonts w:cstheme="minorHAnsi"/>
        </w:rPr>
        <w:t xml:space="preserve">*, </w:t>
      </w:r>
      <w:r w:rsidR="007F165A">
        <w:t>Sónia Novais</w:t>
      </w:r>
      <w:r w:rsidR="007F165A">
        <w:rPr>
          <w:rFonts w:cstheme="minorHAnsi"/>
        </w:rPr>
        <w:t>**</w:t>
      </w:r>
      <w:r w:rsidR="00D01799" w:rsidRPr="00DC6A86">
        <w:rPr>
          <w:rFonts w:cstheme="minorHAnsi"/>
        </w:rPr>
        <w:t xml:space="preserve"> </w:t>
      </w:r>
    </w:p>
    <w:p w14:paraId="2CC33957" w14:textId="77777777" w:rsidR="00D01799" w:rsidRPr="00AF0BBB" w:rsidRDefault="00D01799" w:rsidP="00D01799">
      <w:pPr>
        <w:spacing w:after="120" w:line="240" w:lineRule="auto"/>
        <w:ind w:left="-170" w:right="-170"/>
        <w:rPr>
          <w:rFonts w:cstheme="minorHAnsi"/>
          <w:sz w:val="20"/>
          <w:szCs w:val="20"/>
        </w:rPr>
      </w:pPr>
    </w:p>
    <w:p w14:paraId="569DD2B9" w14:textId="5ED8A510" w:rsidR="00ED4976" w:rsidRPr="00DC6289" w:rsidRDefault="00ED4976" w:rsidP="005E2ABD">
      <w:pPr>
        <w:spacing w:after="0" w:line="240" w:lineRule="auto"/>
        <w:ind w:left="-170" w:right="-170"/>
        <w:jc w:val="both"/>
        <w:rPr>
          <w:rFonts w:ascii="Calibri" w:hAnsi="Calibri" w:cs="Calibri"/>
          <w:b/>
          <w:sz w:val="20"/>
          <w:szCs w:val="20"/>
        </w:rPr>
      </w:pPr>
      <w:r w:rsidRPr="00DC6289">
        <w:rPr>
          <w:rFonts w:ascii="Calibri" w:hAnsi="Calibri" w:cs="Calibri"/>
          <w:b/>
          <w:sz w:val="20"/>
          <w:szCs w:val="20"/>
        </w:rPr>
        <w:t>RESUMO</w:t>
      </w:r>
    </w:p>
    <w:p w14:paraId="3DE5BFDD" w14:textId="64E429A8" w:rsidR="00B61761" w:rsidRPr="00DC6289" w:rsidRDefault="00B92339" w:rsidP="009E494A">
      <w:pPr>
        <w:spacing w:after="0" w:line="240" w:lineRule="auto"/>
        <w:ind w:left="-170" w:right="-170"/>
        <w:jc w:val="both"/>
        <w:rPr>
          <w:rFonts w:eastAsia="Arial" w:cstheme="minorHAnsi"/>
          <w:sz w:val="20"/>
          <w:szCs w:val="20"/>
        </w:rPr>
      </w:pPr>
      <w:r w:rsidRPr="001C0E1E">
        <w:rPr>
          <w:rFonts w:eastAsia="Arial" w:cstheme="minorHAnsi"/>
          <w:b/>
          <w:bCs/>
          <w:sz w:val="20"/>
          <w:szCs w:val="20"/>
        </w:rPr>
        <w:t>Enquadramento</w:t>
      </w:r>
      <w:r w:rsidR="00B61761" w:rsidRPr="00DC6289">
        <w:rPr>
          <w:rFonts w:eastAsia="Arial" w:cstheme="minorHAnsi"/>
          <w:sz w:val="20"/>
          <w:szCs w:val="20"/>
        </w:rPr>
        <w:t xml:space="preserve">: </w:t>
      </w:r>
      <w:r w:rsidRPr="00DC6289">
        <w:rPr>
          <w:rFonts w:eastAsia="Arial" w:cstheme="minorHAnsi"/>
          <w:sz w:val="20"/>
          <w:szCs w:val="20"/>
        </w:rPr>
        <w:t>o</w:t>
      </w:r>
      <w:r w:rsidR="00B61761" w:rsidRPr="00DC6289">
        <w:rPr>
          <w:rFonts w:eastAsia="Arial" w:cstheme="minorHAnsi"/>
          <w:sz w:val="20"/>
          <w:szCs w:val="20"/>
        </w:rPr>
        <w:t xml:space="preserve">s fatores de risco de infeção do local cirúrgico (ILC) após Artroplastia do Joelho têm impacto na segurança e qualidade de vida da pessoa em situação perioperatória e no aumento de custos para as unidades de saúde. Verifica-se que este tema é maioritariamente estudado conjuntamente com os fatores de risco de ILC após artroplastia da anca. É imprescindível abordá-lo de forma isolada, para criar instrumentos de identificação de risco que permitam identificar as pessoas mais vulneráveis às infeções do local cirúrgico nesta cirurgia. </w:t>
      </w:r>
      <w:r w:rsidRPr="001C0E1E">
        <w:rPr>
          <w:rFonts w:eastAsia="Arial" w:cstheme="minorHAnsi"/>
          <w:b/>
          <w:bCs/>
          <w:sz w:val="20"/>
          <w:szCs w:val="20"/>
        </w:rPr>
        <w:t>Objetivos</w:t>
      </w:r>
      <w:r w:rsidR="00B61761" w:rsidRPr="00DC6289">
        <w:rPr>
          <w:rFonts w:eastAsia="Arial" w:cstheme="minorHAnsi"/>
          <w:sz w:val="20"/>
          <w:szCs w:val="20"/>
        </w:rPr>
        <w:t xml:space="preserve">: </w:t>
      </w:r>
      <w:r w:rsidRPr="00DC6289">
        <w:rPr>
          <w:rFonts w:eastAsia="Arial" w:cstheme="minorHAnsi"/>
          <w:sz w:val="20"/>
          <w:szCs w:val="20"/>
        </w:rPr>
        <w:t>m</w:t>
      </w:r>
      <w:r w:rsidR="00B61761" w:rsidRPr="00DC6289">
        <w:rPr>
          <w:rFonts w:eastAsia="Arial" w:cstheme="minorHAnsi"/>
          <w:sz w:val="20"/>
          <w:szCs w:val="20"/>
        </w:rPr>
        <w:t xml:space="preserve">apear a evidência sobre os fatores de risco de ILC nas pessoas submetidas a Artoplastia do Joelho. </w:t>
      </w:r>
      <w:r w:rsidRPr="001C0E1E">
        <w:rPr>
          <w:rFonts w:eastAsia="Arial" w:cstheme="minorHAnsi"/>
          <w:b/>
          <w:bCs/>
          <w:sz w:val="20"/>
          <w:szCs w:val="20"/>
        </w:rPr>
        <w:t>Metodologia</w:t>
      </w:r>
      <w:r w:rsidR="00B61761" w:rsidRPr="00DC6289">
        <w:rPr>
          <w:rFonts w:eastAsia="Arial" w:cstheme="minorHAnsi"/>
          <w:sz w:val="20"/>
          <w:szCs w:val="20"/>
        </w:rPr>
        <w:t xml:space="preserve">: </w:t>
      </w:r>
      <w:r w:rsidRPr="00DC6289">
        <w:rPr>
          <w:rFonts w:eastAsia="Arial" w:cstheme="minorHAnsi"/>
          <w:sz w:val="20"/>
          <w:szCs w:val="20"/>
        </w:rPr>
        <w:t>r</w:t>
      </w:r>
      <w:r w:rsidR="00B61761" w:rsidRPr="00DC6289">
        <w:rPr>
          <w:rFonts w:eastAsia="Arial" w:cstheme="minorHAnsi"/>
          <w:sz w:val="20"/>
          <w:szCs w:val="20"/>
        </w:rPr>
        <w:t xml:space="preserve">evisão scoping orientada pela metodologia do Joanna </w:t>
      </w:r>
      <w:proofErr w:type="spellStart"/>
      <w:r w:rsidR="00B61761" w:rsidRPr="00DC6289">
        <w:rPr>
          <w:rFonts w:eastAsia="Arial" w:cstheme="minorHAnsi"/>
          <w:sz w:val="20"/>
          <w:szCs w:val="20"/>
        </w:rPr>
        <w:t>Briggs</w:t>
      </w:r>
      <w:proofErr w:type="spellEnd"/>
      <w:r w:rsidR="00B61761" w:rsidRPr="00DC6289">
        <w:rPr>
          <w:rFonts w:eastAsia="Arial" w:cstheme="minorHAnsi"/>
          <w:sz w:val="20"/>
          <w:szCs w:val="20"/>
        </w:rPr>
        <w:t xml:space="preserve"> </w:t>
      </w:r>
      <w:proofErr w:type="spellStart"/>
      <w:r w:rsidR="00B61761" w:rsidRPr="00DC6289">
        <w:rPr>
          <w:rFonts w:eastAsia="Arial" w:cstheme="minorHAnsi"/>
          <w:sz w:val="20"/>
          <w:szCs w:val="20"/>
        </w:rPr>
        <w:t>Institute</w:t>
      </w:r>
      <w:proofErr w:type="spellEnd"/>
      <w:r w:rsidR="00B61761" w:rsidRPr="00DC6289">
        <w:rPr>
          <w:rFonts w:eastAsia="Arial" w:cstheme="minorHAnsi"/>
          <w:sz w:val="20"/>
          <w:szCs w:val="20"/>
        </w:rPr>
        <w:t xml:space="preserve">. Aplicado limite temporal 2018 a 2024, a partir de uma revisão identificada sobre essa temática. </w:t>
      </w:r>
      <w:r w:rsidRPr="001C0E1E">
        <w:rPr>
          <w:rFonts w:eastAsia="Arial" w:cstheme="minorHAnsi"/>
          <w:b/>
          <w:bCs/>
          <w:sz w:val="20"/>
          <w:szCs w:val="20"/>
        </w:rPr>
        <w:t>Resultados</w:t>
      </w:r>
      <w:r w:rsidR="00B61761" w:rsidRPr="00DC6289">
        <w:rPr>
          <w:rFonts w:eastAsia="Arial" w:cstheme="minorHAnsi"/>
          <w:sz w:val="20"/>
          <w:szCs w:val="20"/>
        </w:rPr>
        <w:t xml:space="preserve">: </w:t>
      </w:r>
      <w:r w:rsidRPr="00DC6289">
        <w:rPr>
          <w:rFonts w:eastAsia="Arial" w:cstheme="minorHAnsi"/>
          <w:sz w:val="20"/>
          <w:szCs w:val="20"/>
        </w:rPr>
        <w:t>f</w:t>
      </w:r>
      <w:r w:rsidR="00B61761" w:rsidRPr="00DC6289">
        <w:rPr>
          <w:rFonts w:eastAsia="Arial" w:cstheme="minorHAnsi"/>
          <w:sz w:val="20"/>
          <w:szCs w:val="20"/>
        </w:rPr>
        <w:t xml:space="preserve">oram incluídos 27 artigos na revisão, e identificados fatores de risco modificáveis e não modificáveis no período perioperatório. As competências avançadas do enfermeiro especialista para minimizar/eliminar o risco da ILC são fundamentais principalmente nos fatores de risco modificáveis. </w:t>
      </w:r>
      <w:r w:rsidRPr="001C0E1E">
        <w:rPr>
          <w:rFonts w:eastAsia="Arial" w:cstheme="minorHAnsi"/>
          <w:b/>
          <w:bCs/>
          <w:sz w:val="20"/>
          <w:szCs w:val="20"/>
        </w:rPr>
        <w:t>Conclusão</w:t>
      </w:r>
      <w:r w:rsidR="00B61761" w:rsidRPr="00DC6289">
        <w:rPr>
          <w:rFonts w:eastAsia="Arial" w:cstheme="minorHAnsi"/>
          <w:sz w:val="20"/>
          <w:szCs w:val="20"/>
        </w:rPr>
        <w:t xml:space="preserve">: </w:t>
      </w:r>
      <w:r w:rsidRPr="00DC6289">
        <w:rPr>
          <w:rFonts w:eastAsia="Arial" w:cstheme="minorHAnsi"/>
          <w:sz w:val="20"/>
          <w:szCs w:val="20"/>
        </w:rPr>
        <w:t>o</w:t>
      </w:r>
      <w:r w:rsidR="00B61761" w:rsidRPr="00DC6289">
        <w:rPr>
          <w:rFonts w:eastAsia="Arial" w:cstheme="minorHAnsi"/>
          <w:sz w:val="20"/>
          <w:szCs w:val="20"/>
        </w:rPr>
        <w:t xml:space="preserve">s fatores de risco estão presentes no período perioperatório, sendo alguns intrínsecos à própria pessoa e outros decorrentes das práticas dos próprios profissionais de saúde colocando em risco a segurança cirúrgica. </w:t>
      </w:r>
    </w:p>
    <w:p w14:paraId="618ED6A3" w14:textId="3A8926AC" w:rsidR="00563603" w:rsidRPr="00DC6289" w:rsidRDefault="00B92339" w:rsidP="009E494A">
      <w:pPr>
        <w:spacing w:after="0" w:line="240" w:lineRule="auto"/>
        <w:ind w:left="-170" w:right="-170"/>
        <w:jc w:val="both"/>
        <w:rPr>
          <w:rFonts w:eastAsia="Arial" w:cstheme="minorHAnsi"/>
          <w:sz w:val="20"/>
          <w:szCs w:val="20"/>
        </w:rPr>
      </w:pPr>
      <w:r w:rsidRPr="001C0E1E">
        <w:rPr>
          <w:rFonts w:eastAsia="Arial" w:cstheme="minorHAnsi"/>
          <w:b/>
          <w:bCs/>
          <w:sz w:val="20"/>
          <w:szCs w:val="20"/>
        </w:rPr>
        <w:t>Palavra</w:t>
      </w:r>
      <w:r w:rsidR="0030216B">
        <w:rPr>
          <w:rFonts w:eastAsia="Arial" w:cstheme="minorHAnsi"/>
          <w:b/>
          <w:bCs/>
          <w:sz w:val="20"/>
          <w:szCs w:val="20"/>
        </w:rPr>
        <w:t>s</w:t>
      </w:r>
      <w:r w:rsidRPr="001C0E1E">
        <w:rPr>
          <w:rFonts w:eastAsia="Arial" w:cstheme="minorHAnsi"/>
          <w:b/>
          <w:bCs/>
          <w:sz w:val="20"/>
          <w:szCs w:val="20"/>
        </w:rPr>
        <w:t>-chave</w:t>
      </w:r>
      <w:r w:rsidR="00563603" w:rsidRPr="00DC6289">
        <w:rPr>
          <w:rFonts w:eastAsia="Arial" w:cstheme="minorHAnsi"/>
          <w:sz w:val="20"/>
          <w:szCs w:val="20"/>
        </w:rPr>
        <w:t xml:space="preserve">: </w:t>
      </w:r>
      <w:proofErr w:type="spellStart"/>
      <w:r w:rsidRPr="00DC6289">
        <w:rPr>
          <w:rFonts w:eastAsia="Arial" w:cstheme="minorHAnsi"/>
          <w:sz w:val="20"/>
          <w:szCs w:val="20"/>
        </w:rPr>
        <w:t>artroplastia</w:t>
      </w:r>
      <w:proofErr w:type="spellEnd"/>
      <w:r w:rsidRPr="00DC6289">
        <w:rPr>
          <w:rFonts w:eastAsia="Arial" w:cstheme="minorHAnsi"/>
          <w:sz w:val="20"/>
          <w:szCs w:val="20"/>
        </w:rPr>
        <w:t xml:space="preserve"> do joelho; fatores de risco; </w:t>
      </w:r>
      <w:r w:rsidR="006A05D4" w:rsidRPr="00DC6289">
        <w:rPr>
          <w:rFonts w:eastAsia="Arial" w:cstheme="minorHAnsi"/>
          <w:sz w:val="20"/>
          <w:szCs w:val="20"/>
        </w:rPr>
        <w:t>infeção</w:t>
      </w:r>
      <w:r w:rsidRPr="00DC6289">
        <w:rPr>
          <w:rFonts w:eastAsia="Arial" w:cstheme="minorHAnsi"/>
          <w:sz w:val="20"/>
          <w:szCs w:val="20"/>
        </w:rPr>
        <w:t xml:space="preserve"> da ferida cirúrgica</w:t>
      </w:r>
    </w:p>
    <w:p w14:paraId="20BA620B" w14:textId="1821B555" w:rsidR="00D969E8" w:rsidRPr="00AF0BBB" w:rsidRDefault="00D969E8" w:rsidP="0026366B">
      <w:pPr>
        <w:spacing w:after="0" w:line="240" w:lineRule="auto"/>
        <w:ind w:left="2268" w:right="-170"/>
        <w:jc w:val="both"/>
        <w:rPr>
          <w:rFonts w:ascii="Calibri" w:hAnsi="Calibri" w:cs="Calibri"/>
          <w:b/>
          <w:sz w:val="20"/>
          <w:szCs w:val="20"/>
          <w:shd w:val="clear" w:color="auto" w:fill="FFFFFF"/>
        </w:rPr>
      </w:pPr>
      <w:r w:rsidRPr="001C0E1E">
        <w:rPr>
          <w:rFonts w:ascii="Calibri" w:hAnsi="Calibri" w:cs="Calibri"/>
          <w:b/>
          <w:bCs/>
          <w:noProof/>
          <w:sz w:val="20"/>
          <w:szCs w:val="20"/>
          <w:shd w:val="clear" w:color="auto" w:fill="FFFFFF"/>
          <w:lang w:val="en"/>
        </w:rPr>
        <mc:AlternateContent>
          <mc:Choice Requires="wps">
            <w:drawing>
              <wp:anchor distT="45720" distB="45720" distL="114300" distR="114300" simplePos="0" relativeHeight="251659264" behindDoc="0" locked="0" layoutInCell="1" allowOverlap="1" wp14:anchorId="0D2E70A8" wp14:editId="2FD04671">
                <wp:simplePos x="0" y="0"/>
                <wp:positionH relativeFrom="column">
                  <wp:posOffset>-210820</wp:posOffset>
                </wp:positionH>
                <wp:positionV relativeFrom="paragraph">
                  <wp:posOffset>139700</wp:posOffset>
                </wp:positionV>
                <wp:extent cx="1673860" cy="5321935"/>
                <wp:effectExtent l="0" t="0" r="254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5321935"/>
                        </a:xfrm>
                        <a:prstGeom prst="rect">
                          <a:avLst/>
                        </a:prstGeom>
                        <a:solidFill>
                          <a:srgbClr val="FFFFFF"/>
                        </a:solidFill>
                        <a:ln w="9525">
                          <a:noFill/>
                          <a:miter lim="800000"/>
                          <a:headEnd/>
                          <a:tailEnd/>
                        </a:ln>
                      </wps:spPr>
                      <wps:txbx>
                        <w:txbxContent>
                          <w:p w14:paraId="13BB5941" w14:textId="3A9D6688" w:rsidR="008D22E6" w:rsidRPr="008D22E6" w:rsidRDefault="00DC6289" w:rsidP="00DC6289">
                            <w:pPr>
                              <w:pBdr>
                                <w:right w:val="single" w:sz="24" w:space="4" w:color="A6A6A6" w:themeColor="background1" w:themeShade="A6"/>
                              </w:pBdr>
                              <w:spacing w:after="0" w:line="240" w:lineRule="auto"/>
                              <w:jc w:val="both"/>
                              <w:rPr>
                                <w:sz w:val="12"/>
                                <w:szCs w:val="12"/>
                              </w:rPr>
                            </w:pPr>
                            <w:r w:rsidRPr="00D33B5B">
                              <w:rPr>
                                <w:sz w:val="12"/>
                                <w:szCs w:val="12"/>
                              </w:rPr>
                              <w:t>*</w:t>
                            </w:r>
                            <w:proofErr w:type="spellStart"/>
                            <w:r>
                              <w:rPr>
                                <w:sz w:val="12"/>
                                <w:szCs w:val="12"/>
                              </w:rPr>
                              <w:t>MSc</w:t>
                            </w:r>
                            <w:proofErr w:type="spellEnd"/>
                            <w:r w:rsidRPr="00CD273F">
                              <w:rPr>
                                <w:sz w:val="12"/>
                                <w:szCs w:val="12"/>
                              </w:rPr>
                              <w:t xml:space="preserve">., Unidade Local de Saúde </w:t>
                            </w:r>
                            <w:r w:rsidR="006B6D81">
                              <w:rPr>
                                <w:sz w:val="12"/>
                                <w:szCs w:val="12"/>
                              </w:rPr>
                              <w:t>Centro Hospitalar</w:t>
                            </w:r>
                            <w:r w:rsidR="008D22E6">
                              <w:rPr>
                                <w:sz w:val="12"/>
                                <w:szCs w:val="12"/>
                              </w:rPr>
                              <w:t xml:space="preserve"> e Universitário </w:t>
                            </w:r>
                            <w:r w:rsidRPr="00CD273F">
                              <w:rPr>
                                <w:sz w:val="12"/>
                                <w:szCs w:val="12"/>
                              </w:rPr>
                              <w:t xml:space="preserve">de Coimbra, Portugal  </w:t>
                            </w:r>
                            <w:r w:rsidR="008D22E6">
                              <w:rPr>
                                <w:sz w:val="12"/>
                                <w:szCs w:val="12"/>
                                <w:lang w:val="en-GB"/>
                              </w:rPr>
                              <w:fldChar w:fldCharType="begin"/>
                            </w:r>
                            <w:r w:rsidR="008D22E6" w:rsidRPr="00AF0BBB">
                              <w:rPr>
                                <w:sz w:val="12"/>
                                <w:szCs w:val="12"/>
                              </w:rPr>
                              <w:instrText>HYPERLINK "https://orcid.org/0000-0002-6572-9252</w:instrText>
                            </w:r>
                          </w:p>
                          <w:p w14:paraId="155BC797" w14:textId="77777777" w:rsidR="008D22E6" w:rsidRPr="00946EF3" w:rsidRDefault="008D22E6" w:rsidP="00DC6289">
                            <w:pPr>
                              <w:pBdr>
                                <w:right w:val="single" w:sz="24" w:space="4" w:color="A6A6A6" w:themeColor="background1" w:themeShade="A6"/>
                              </w:pBdr>
                              <w:spacing w:after="0" w:line="240" w:lineRule="auto"/>
                              <w:jc w:val="both"/>
                              <w:rPr>
                                <w:rStyle w:val="Hiperligao"/>
                                <w:sz w:val="12"/>
                                <w:szCs w:val="12"/>
                              </w:rPr>
                            </w:pPr>
                            <w:r w:rsidRPr="00AF0BBB">
                              <w:rPr>
                                <w:sz w:val="12"/>
                                <w:szCs w:val="12"/>
                              </w:rPr>
                              <w:instrText>"</w:instrText>
                            </w:r>
                            <w:r>
                              <w:rPr>
                                <w:sz w:val="12"/>
                                <w:szCs w:val="12"/>
                                <w:lang w:val="en-GB"/>
                              </w:rPr>
                            </w:r>
                            <w:r>
                              <w:rPr>
                                <w:sz w:val="12"/>
                                <w:szCs w:val="12"/>
                                <w:lang w:val="en-GB"/>
                              </w:rPr>
                              <w:fldChar w:fldCharType="separate"/>
                            </w:r>
                            <w:r w:rsidRPr="00AF0BBB">
                              <w:rPr>
                                <w:rStyle w:val="Hiperligao"/>
                                <w:sz w:val="12"/>
                                <w:szCs w:val="12"/>
                              </w:rPr>
                              <w:t>https://orcid.org/0000-0002-6572-9252</w:t>
                            </w:r>
                          </w:p>
                          <w:p w14:paraId="7A42CE9E" w14:textId="5CC74715" w:rsidR="00DC6289" w:rsidRPr="00CD273F" w:rsidRDefault="008D22E6" w:rsidP="00DC6289">
                            <w:pPr>
                              <w:pBdr>
                                <w:right w:val="single" w:sz="24" w:space="4" w:color="A6A6A6" w:themeColor="background1" w:themeShade="A6"/>
                              </w:pBdr>
                              <w:spacing w:after="0" w:line="240" w:lineRule="auto"/>
                              <w:jc w:val="both"/>
                              <w:rPr>
                                <w:sz w:val="12"/>
                                <w:szCs w:val="12"/>
                              </w:rPr>
                            </w:pPr>
                            <w:r>
                              <w:rPr>
                                <w:sz w:val="12"/>
                                <w:szCs w:val="12"/>
                                <w:lang w:val="en-GB"/>
                              </w:rPr>
                              <w:fldChar w:fldCharType="end"/>
                            </w:r>
                            <w:r w:rsidR="00DC6289" w:rsidRPr="00CD273F">
                              <w:rPr>
                                <w:sz w:val="12"/>
                                <w:szCs w:val="12"/>
                              </w:rPr>
                              <w:t>**</w:t>
                            </w:r>
                            <w:r w:rsidR="00004664">
                              <w:rPr>
                                <w:sz w:val="12"/>
                                <w:szCs w:val="12"/>
                              </w:rPr>
                              <w:t>PhD</w:t>
                            </w:r>
                            <w:r w:rsidR="00DC6289" w:rsidRPr="00CD273F">
                              <w:rPr>
                                <w:sz w:val="12"/>
                                <w:szCs w:val="12"/>
                              </w:rPr>
                              <w:t xml:space="preserve">., </w:t>
                            </w:r>
                            <w:r w:rsidR="00060FE1">
                              <w:rPr>
                                <w:sz w:val="12"/>
                                <w:szCs w:val="12"/>
                              </w:rPr>
                              <w:t>Professora Adjunta na Escola Superior de Saúde Norte da Cruz Vermelha Portuguesa</w:t>
                            </w:r>
                            <w:r w:rsidR="00DC6289" w:rsidRPr="00CD273F">
                              <w:rPr>
                                <w:sz w:val="12"/>
                                <w:szCs w:val="12"/>
                              </w:rPr>
                              <w:t xml:space="preserve"> Portugal</w:t>
                            </w:r>
                            <w:r w:rsidR="0030216B">
                              <w:rPr>
                                <w:sz w:val="12"/>
                                <w:szCs w:val="12"/>
                              </w:rPr>
                              <w:t xml:space="preserve"> </w:t>
                            </w:r>
                            <w:hyperlink r:id="rId8" w:history="1">
                              <w:r w:rsidR="00004664" w:rsidRPr="00AF0BBB">
                                <w:rPr>
                                  <w:rStyle w:val="Hiperligao"/>
                                  <w:sz w:val="12"/>
                                  <w:szCs w:val="12"/>
                                </w:rPr>
                                <w:t>https://orcid.org/0000-0002-4328-3755</w:t>
                              </w:r>
                            </w:hyperlink>
                          </w:p>
                          <w:p w14:paraId="0B38CD71" w14:textId="77777777" w:rsidR="008D22E6" w:rsidRDefault="008D22E6" w:rsidP="00DC6289">
                            <w:pPr>
                              <w:pBdr>
                                <w:right w:val="single" w:sz="24" w:space="4" w:color="A6A6A6" w:themeColor="background1" w:themeShade="A6"/>
                              </w:pBdr>
                              <w:spacing w:after="0" w:line="240" w:lineRule="auto"/>
                              <w:rPr>
                                <w:sz w:val="12"/>
                                <w:szCs w:val="12"/>
                              </w:rPr>
                            </w:pPr>
                          </w:p>
                          <w:p w14:paraId="103B752E" w14:textId="77777777" w:rsidR="008D22E6" w:rsidRDefault="008D22E6" w:rsidP="00DC6289">
                            <w:pPr>
                              <w:pBdr>
                                <w:right w:val="single" w:sz="24" w:space="4" w:color="A6A6A6" w:themeColor="background1" w:themeShade="A6"/>
                              </w:pBdr>
                              <w:spacing w:after="0" w:line="240" w:lineRule="auto"/>
                              <w:rPr>
                                <w:sz w:val="12"/>
                                <w:szCs w:val="12"/>
                              </w:rPr>
                            </w:pPr>
                          </w:p>
                          <w:p w14:paraId="48AF99A9" w14:textId="77777777" w:rsidR="008D22E6" w:rsidRDefault="008D22E6" w:rsidP="00DC6289">
                            <w:pPr>
                              <w:pBdr>
                                <w:right w:val="single" w:sz="24" w:space="4" w:color="A6A6A6" w:themeColor="background1" w:themeShade="A6"/>
                              </w:pBdr>
                              <w:spacing w:after="0" w:line="240" w:lineRule="auto"/>
                              <w:rPr>
                                <w:sz w:val="12"/>
                                <w:szCs w:val="12"/>
                              </w:rPr>
                            </w:pPr>
                          </w:p>
                          <w:p w14:paraId="010E771C" w14:textId="77777777" w:rsidR="008D22E6" w:rsidRDefault="008D22E6" w:rsidP="00DC6289">
                            <w:pPr>
                              <w:pBdr>
                                <w:right w:val="single" w:sz="24" w:space="4" w:color="A6A6A6" w:themeColor="background1" w:themeShade="A6"/>
                              </w:pBdr>
                              <w:spacing w:after="0" w:line="240" w:lineRule="auto"/>
                              <w:rPr>
                                <w:sz w:val="12"/>
                                <w:szCs w:val="12"/>
                              </w:rPr>
                            </w:pPr>
                          </w:p>
                          <w:p w14:paraId="3BF66391" w14:textId="77777777" w:rsidR="008D22E6" w:rsidRDefault="008D22E6" w:rsidP="00DC6289">
                            <w:pPr>
                              <w:pBdr>
                                <w:right w:val="single" w:sz="24" w:space="4" w:color="A6A6A6" w:themeColor="background1" w:themeShade="A6"/>
                              </w:pBdr>
                              <w:spacing w:after="0" w:line="240" w:lineRule="auto"/>
                              <w:rPr>
                                <w:sz w:val="12"/>
                                <w:szCs w:val="12"/>
                              </w:rPr>
                            </w:pPr>
                          </w:p>
                          <w:p w14:paraId="124FE239" w14:textId="77777777" w:rsidR="008D22E6" w:rsidRDefault="008D22E6" w:rsidP="00DC6289">
                            <w:pPr>
                              <w:pBdr>
                                <w:right w:val="single" w:sz="24" w:space="4" w:color="A6A6A6" w:themeColor="background1" w:themeShade="A6"/>
                              </w:pBdr>
                              <w:spacing w:after="0" w:line="240" w:lineRule="auto"/>
                              <w:rPr>
                                <w:sz w:val="12"/>
                                <w:szCs w:val="12"/>
                              </w:rPr>
                            </w:pPr>
                          </w:p>
                          <w:p w14:paraId="1263AB4F" w14:textId="77777777" w:rsidR="008D22E6" w:rsidRDefault="008D22E6" w:rsidP="00DC6289">
                            <w:pPr>
                              <w:pBdr>
                                <w:right w:val="single" w:sz="24" w:space="4" w:color="A6A6A6" w:themeColor="background1" w:themeShade="A6"/>
                              </w:pBdr>
                              <w:spacing w:after="0" w:line="240" w:lineRule="auto"/>
                              <w:rPr>
                                <w:sz w:val="12"/>
                                <w:szCs w:val="12"/>
                              </w:rPr>
                            </w:pPr>
                          </w:p>
                          <w:p w14:paraId="32D18B52" w14:textId="77777777" w:rsidR="008D22E6" w:rsidRDefault="008D22E6" w:rsidP="00DC6289">
                            <w:pPr>
                              <w:pBdr>
                                <w:right w:val="single" w:sz="24" w:space="4" w:color="A6A6A6" w:themeColor="background1" w:themeShade="A6"/>
                              </w:pBdr>
                              <w:spacing w:after="0" w:line="240" w:lineRule="auto"/>
                              <w:rPr>
                                <w:sz w:val="12"/>
                                <w:szCs w:val="12"/>
                              </w:rPr>
                            </w:pPr>
                          </w:p>
                          <w:p w14:paraId="709C2F73" w14:textId="77777777" w:rsidR="008D22E6" w:rsidRDefault="008D22E6" w:rsidP="00DC6289">
                            <w:pPr>
                              <w:pBdr>
                                <w:right w:val="single" w:sz="24" w:space="4" w:color="A6A6A6" w:themeColor="background1" w:themeShade="A6"/>
                              </w:pBdr>
                              <w:spacing w:after="0" w:line="240" w:lineRule="auto"/>
                              <w:rPr>
                                <w:sz w:val="12"/>
                                <w:szCs w:val="12"/>
                              </w:rPr>
                            </w:pPr>
                          </w:p>
                          <w:p w14:paraId="325C4A70" w14:textId="76568794" w:rsidR="00DC6289" w:rsidRPr="00CD273F" w:rsidRDefault="00DC6289" w:rsidP="00DC6289">
                            <w:pPr>
                              <w:pBdr>
                                <w:right w:val="single" w:sz="24" w:space="4" w:color="A6A6A6" w:themeColor="background1" w:themeShade="A6"/>
                              </w:pBdr>
                              <w:spacing w:after="0" w:line="240" w:lineRule="auto"/>
                              <w:rPr>
                                <w:rFonts w:cstheme="minorHAnsi"/>
                                <w:b/>
                                <w:sz w:val="12"/>
                                <w:szCs w:val="12"/>
                              </w:rPr>
                            </w:pPr>
                            <w:r w:rsidRPr="00CD273F">
                              <w:rPr>
                                <w:rFonts w:cstheme="minorHAnsi"/>
                                <w:b/>
                                <w:sz w:val="12"/>
                                <w:szCs w:val="12"/>
                              </w:rPr>
                              <w:t>Autor de correspondência:</w:t>
                            </w:r>
                          </w:p>
                          <w:p w14:paraId="19A08B93" w14:textId="30A315E7" w:rsidR="00DC6289" w:rsidRPr="00CD273F" w:rsidRDefault="00042FD5" w:rsidP="00DC6289">
                            <w:pPr>
                              <w:pBdr>
                                <w:right w:val="single" w:sz="24" w:space="4" w:color="A6A6A6" w:themeColor="background1" w:themeShade="A6"/>
                              </w:pBdr>
                              <w:spacing w:after="0" w:line="240" w:lineRule="auto"/>
                              <w:rPr>
                                <w:rFonts w:cstheme="minorHAnsi"/>
                                <w:sz w:val="12"/>
                                <w:szCs w:val="12"/>
                              </w:rPr>
                            </w:pPr>
                            <w:r>
                              <w:rPr>
                                <w:sz w:val="12"/>
                                <w:szCs w:val="12"/>
                              </w:rPr>
                              <w:t>Luciana Forte</w:t>
                            </w:r>
                          </w:p>
                          <w:p w14:paraId="3F17348F" w14:textId="081EC346" w:rsidR="00DC6289" w:rsidRPr="00CD273F" w:rsidRDefault="00042FD5" w:rsidP="00DC6289">
                            <w:pPr>
                              <w:pBdr>
                                <w:right w:val="single" w:sz="24" w:space="4" w:color="A6A6A6" w:themeColor="background1" w:themeShade="A6"/>
                              </w:pBdr>
                              <w:spacing w:after="0" w:line="240" w:lineRule="auto"/>
                              <w:rPr>
                                <w:rFonts w:cstheme="minorHAnsi"/>
                                <w:sz w:val="12"/>
                                <w:szCs w:val="12"/>
                              </w:rPr>
                            </w:pPr>
                            <w:hyperlink r:id="rId9" w:history="1">
                              <w:r w:rsidRPr="00AF0BBB">
                                <w:rPr>
                                  <w:rStyle w:val="Hiperligao"/>
                                  <w:sz w:val="12"/>
                                  <w:szCs w:val="12"/>
                                </w:rPr>
                                <w:t>lucianaforte@gmail.com</w:t>
                              </w:r>
                            </w:hyperlink>
                          </w:p>
                          <w:p w14:paraId="78482797" w14:textId="77777777" w:rsidR="00DC6289" w:rsidRPr="00BE44B4" w:rsidRDefault="00DC6289" w:rsidP="00DC6289">
                            <w:pPr>
                              <w:pBdr>
                                <w:right w:val="single" w:sz="24" w:space="4" w:color="A6A6A6" w:themeColor="background1" w:themeShade="A6"/>
                              </w:pBdr>
                              <w:spacing w:after="0" w:line="240" w:lineRule="auto"/>
                              <w:rPr>
                                <w:rFonts w:cstheme="minorHAnsi"/>
                                <w:sz w:val="6"/>
                                <w:szCs w:val="6"/>
                              </w:rPr>
                            </w:pPr>
                          </w:p>
                          <w:p w14:paraId="0323BD4D" w14:textId="77777777" w:rsidR="00DC6289" w:rsidRDefault="00DC6289" w:rsidP="00DC6289">
                            <w:pPr>
                              <w:pBdr>
                                <w:right w:val="single" w:sz="24" w:space="4" w:color="A6A6A6" w:themeColor="background1" w:themeShade="A6"/>
                              </w:pBdr>
                              <w:spacing w:after="0" w:line="240" w:lineRule="auto"/>
                              <w:rPr>
                                <w:rFonts w:cstheme="minorHAnsi"/>
                                <w:sz w:val="12"/>
                                <w:szCs w:val="12"/>
                              </w:rPr>
                            </w:pPr>
                          </w:p>
                          <w:p w14:paraId="3AA5D78E"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6A462B3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51E6A25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7D3930AF"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23C439CD"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67326E1C"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4EAC3E0B"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44BBD269"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1AAAAAA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716882F6"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26201223" w14:textId="77777777" w:rsidR="008D22E6" w:rsidRPr="00836438" w:rsidRDefault="008D22E6" w:rsidP="00DC6289">
                            <w:pPr>
                              <w:pBdr>
                                <w:right w:val="single" w:sz="24" w:space="4" w:color="A6A6A6" w:themeColor="background1" w:themeShade="A6"/>
                              </w:pBdr>
                              <w:spacing w:after="0" w:line="240" w:lineRule="auto"/>
                              <w:rPr>
                                <w:rFonts w:cstheme="minorHAnsi"/>
                                <w:sz w:val="12"/>
                                <w:szCs w:val="12"/>
                              </w:rPr>
                            </w:pPr>
                          </w:p>
                          <w:p w14:paraId="0D21E6C0" w14:textId="77777777" w:rsidR="00DC6289" w:rsidRPr="000A59B9" w:rsidRDefault="00DC6289" w:rsidP="00DC6289">
                            <w:pPr>
                              <w:pBdr>
                                <w:right w:val="single" w:sz="24" w:space="4" w:color="A6A6A6" w:themeColor="background1" w:themeShade="A6"/>
                              </w:pBdr>
                              <w:spacing w:after="0" w:line="240" w:lineRule="auto"/>
                              <w:jc w:val="both"/>
                              <w:rPr>
                                <w:rFonts w:cstheme="minorHAnsi"/>
                                <w:b/>
                                <w:sz w:val="12"/>
                                <w:szCs w:val="12"/>
                              </w:rPr>
                            </w:pPr>
                            <w:bookmarkStart w:id="0" w:name="_Hlk150510432"/>
                            <w:r w:rsidRPr="000A59B9">
                              <w:rPr>
                                <w:rFonts w:cstheme="minorHAnsi"/>
                                <w:b/>
                                <w:sz w:val="12"/>
                                <w:szCs w:val="12"/>
                              </w:rPr>
                              <w:t>Como referenciar:</w:t>
                            </w:r>
                          </w:p>
                          <w:p w14:paraId="689E1AEF" w14:textId="57DDEB87" w:rsidR="00DC6289" w:rsidRPr="0039086C" w:rsidRDefault="008D22E6" w:rsidP="00DC6289">
                            <w:pPr>
                              <w:pBdr>
                                <w:right w:val="single" w:sz="24" w:space="4" w:color="A6A6A6" w:themeColor="background1" w:themeShade="A6"/>
                              </w:pBdr>
                              <w:spacing w:after="0" w:line="240" w:lineRule="auto"/>
                              <w:jc w:val="both"/>
                              <w:rPr>
                                <w:rFonts w:cstheme="minorHAnsi"/>
                                <w:sz w:val="12"/>
                                <w:szCs w:val="12"/>
                              </w:rPr>
                            </w:pPr>
                            <w:proofErr w:type="spellStart"/>
                            <w:r>
                              <w:rPr>
                                <w:rFonts w:cstheme="minorHAnsi"/>
                                <w:sz w:val="12"/>
                                <w:szCs w:val="12"/>
                              </w:rPr>
                              <w:t>Foorte</w:t>
                            </w:r>
                            <w:proofErr w:type="spellEnd"/>
                            <w:r>
                              <w:rPr>
                                <w:rFonts w:cstheme="minorHAnsi"/>
                                <w:sz w:val="12"/>
                                <w:szCs w:val="12"/>
                              </w:rPr>
                              <w:t>, L.,</w:t>
                            </w:r>
                            <w:r w:rsidR="00DC6289">
                              <w:rPr>
                                <w:rFonts w:cstheme="minorHAnsi"/>
                                <w:sz w:val="12"/>
                                <w:szCs w:val="12"/>
                              </w:rPr>
                              <w:t xml:space="preserve"> </w:t>
                            </w:r>
                            <w:r w:rsidR="00DC6289" w:rsidRPr="00CD273F">
                              <w:rPr>
                                <w:rFonts w:cstheme="minorHAnsi"/>
                                <w:sz w:val="12"/>
                                <w:szCs w:val="12"/>
                              </w:rPr>
                              <w:t xml:space="preserve">&amp; </w:t>
                            </w:r>
                            <w:r>
                              <w:rPr>
                                <w:rFonts w:cstheme="minorHAnsi"/>
                                <w:sz w:val="12"/>
                                <w:szCs w:val="12"/>
                              </w:rPr>
                              <w:t>Novais, S</w:t>
                            </w:r>
                            <w:r w:rsidR="00DC6289" w:rsidRPr="00CD273F">
                              <w:rPr>
                                <w:rFonts w:cstheme="minorHAnsi"/>
                                <w:sz w:val="12"/>
                                <w:szCs w:val="12"/>
                              </w:rPr>
                              <w:t>.</w:t>
                            </w:r>
                            <w:r w:rsidR="00DC6289">
                              <w:rPr>
                                <w:rFonts w:cstheme="minorHAnsi"/>
                                <w:sz w:val="12"/>
                                <w:szCs w:val="12"/>
                              </w:rPr>
                              <w:t xml:space="preserve"> </w:t>
                            </w:r>
                            <w:r w:rsidR="00DC6289" w:rsidRPr="00CD273F">
                              <w:rPr>
                                <w:rFonts w:cstheme="minorHAnsi"/>
                                <w:sz w:val="12"/>
                                <w:szCs w:val="12"/>
                              </w:rPr>
                              <w:t>(2025).</w:t>
                            </w:r>
                            <w:r w:rsidR="00DC6289">
                              <w:rPr>
                                <w:rFonts w:cstheme="minorHAnsi"/>
                                <w:sz w:val="12"/>
                                <w:szCs w:val="12"/>
                              </w:rPr>
                              <w:t xml:space="preserve"> </w:t>
                            </w:r>
                            <w:r w:rsidR="00E75A67" w:rsidRPr="00E75A67">
                              <w:rPr>
                                <w:rFonts w:cstheme="minorHAnsi"/>
                                <w:bCs/>
                                <w:sz w:val="12"/>
                                <w:szCs w:val="12"/>
                              </w:rPr>
                              <w:t>Fatores de risco de ILC após Artroplastia do Joelho – scoping review</w:t>
                            </w:r>
                            <w:r w:rsidR="00E75A67">
                              <w:rPr>
                                <w:rFonts w:cstheme="minorHAnsi"/>
                                <w:bCs/>
                                <w:sz w:val="12"/>
                                <w:szCs w:val="12"/>
                              </w:rPr>
                              <w:t>.</w:t>
                            </w:r>
                            <w:r w:rsidR="00DC6289">
                              <w:rPr>
                                <w:rFonts w:cstheme="minorHAnsi"/>
                                <w:sz w:val="12"/>
                                <w:szCs w:val="12"/>
                              </w:rPr>
                              <w:t xml:space="preserve"> </w:t>
                            </w:r>
                            <w:r w:rsidR="00DC6289" w:rsidRPr="00CD273F">
                              <w:rPr>
                                <w:rFonts w:cstheme="minorHAnsi"/>
                                <w:i/>
                                <w:sz w:val="12"/>
                                <w:szCs w:val="12"/>
                              </w:rPr>
                              <w:t>R</w:t>
                            </w:r>
                            <w:r w:rsidR="00DC6289" w:rsidRPr="0039086C">
                              <w:rPr>
                                <w:rFonts w:cstheme="minorHAnsi"/>
                                <w:i/>
                                <w:sz w:val="12"/>
                                <w:szCs w:val="12"/>
                              </w:rPr>
                              <w:t>evista de Investigação &amp; Inovação em Saúde,</w:t>
                            </w:r>
                            <w:r w:rsidR="00DC6289" w:rsidRPr="0039086C">
                              <w:rPr>
                                <w:rFonts w:cstheme="minorHAnsi"/>
                                <w:sz w:val="12"/>
                                <w:szCs w:val="12"/>
                              </w:rPr>
                              <w:t xml:space="preserve"> </w:t>
                            </w:r>
                            <w:r w:rsidR="00DC6289" w:rsidRPr="0039086C">
                              <w:rPr>
                                <w:rFonts w:cstheme="minorHAnsi"/>
                                <w:i/>
                                <w:iCs/>
                                <w:sz w:val="12"/>
                                <w:szCs w:val="12"/>
                              </w:rPr>
                              <w:t>8</w:t>
                            </w:r>
                            <w:r w:rsidR="00DC6289" w:rsidRPr="0039086C">
                              <w:rPr>
                                <w:rFonts w:cstheme="minorHAnsi"/>
                                <w:sz w:val="12"/>
                                <w:szCs w:val="12"/>
                              </w:rPr>
                              <w:t>(1), 1-1</w:t>
                            </w:r>
                            <w:r w:rsidR="00711372" w:rsidRPr="0039086C">
                              <w:rPr>
                                <w:rFonts w:cstheme="minorHAnsi"/>
                                <w:sz w:val="12"/>
                                <w:szCs w:val="12"/>
                              </w:rPr>
                              <w:t>5</w:t>
                            </w:r>
                            <w:r w:rsidR="00DC6289" w:rsidRPr="0039086C">
                              <w:rPr>
                                <w:rFonts w:cstheme="minorHAnsi"/>
                                <w:sz w:val="12"/>
                                <w:szCs w:val="12"/>
                              </w:rPr>
                              <w:t>.</w:t>
                            </w:r>
                          </w:p>
                          <w:p w14:paraId="147C22BA" w14:textId="4B67DEA8" w:rsidR="00DC6289" w:rsidRPr="00414691" w:rsidRDefault="008D22E6" w:rsidP="00DC6289">
                            <w:pPr>
                              <w:pBdr>
                                <w:right w:val="single" w:sz="24" w:space="4" w:color="A6A6A6" w:themeColor="background1" w:themeShade="A6"/>
                              </w:pBdr>
                              <w:spacing w:after="0" w:line="240" w:lineRule="auto"/>
                              <w:jc w:val="both"/>
                              <w:rPr>
                                <w:rStyle w:val="Hiperligao"/>
                                <w:rFonts w:cstheme="minorHAnsi"/>
                                <w:sz w:val="12"/>
                                <w:szCs w:val="12"/>
                              </w:rPr>
                            </w:pPr>
                            <w:hyperlink r:id="rId10" w:history="1">
                              <w:r w:rsidRPr="0039086C">
                                <w:rPr>
                                  <w:rStyle w:val="Hiperligao"/>
                                  <w:rFonts w:cstheme="minorHAnsi"/>
                                  <w:sz w:val="12"/>
                                  <w:szCs w:val="12"/>
                                </w:rPr>
                                <w:t>https://doi.org/10.37914/riis.v8i1.404</w:t>
                              </w:r>
                            </w:hyperlink>
                          </w:p>
                          <w:bookmarkEnd w:id="0"/>
                          <w:p w14:paraId="794CF0F0" w14:textId="77777777" w:rsidR="00DC6289" w:rsidRDefault="00DC6289" w:rsidP="00DC6289">
                            <w:pPr>
                              <w:pBdr>
                                <w:right w:val="single" w:sz="24" w:space="4" w:color="A6A6A6" w:themeColor="background1" w:themeShade="A6"/>
                              </w:pBdr>
                              <w:spacing w:line="240" w:lineRule="auto"/>
                              <w:rPr>
                                <w:rFonts w:cstheme="minorHAnsi"/>
                                <w:color w:val="FF0000"/>
                                <w:sz w:val="6"/>
                                <w:szCs w:val="6"/>
                              </w:rPr>
                            </w:pPr>
                          </w:p>
                          <w:p w14:paraId="69086B6D"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10DCC68F"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7CBADC98"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4D5618B1"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28E98BC3" w14:textId="77777777" w:rsidR="00C23B88" w:rsidRDefault="00C23B88" w:rsidP="00DC6289">
                            <w:pPr>
                              <w:pBdr>
                                <w:right w:val="single" w:sz="24" w:space="4" w:color="A6A6A6" w:themeColor="background1" w:themeShade="A6"/>
                              </w:pBdr>
                              <w:spacing w:line="240" w:lineRule="auto"/>
                              <w:rPr>
                                <w:rFonts w:cstheme="minorHAnsi"/>
                                <w:color w:val="FF0000"/>
                                <w:sz w:val="6"/>
                                <w:szCs w:val="6"/>
                              </w:rPr>
                            </w:pPr>
                          </w:p>
                          <w:p w14:paraId="0377B1A8" w14:textId="77777777" w:rsidR="008D22E6" w:rsidRPr="00D969E8" w:rsidRDefault="008D22E6" w:rsidP="00DC6289">
                            <w:pPr>
                              <w:pBdr>
                                <w:right w:val="single" w:sz="24" w:space="4" w:color="A6A6A6" w:themeColor="background1" w:themeShade="A6"/>
                              </w:pBdr>
                              <w:spacing w:line="240" w:lineRule="auto"/>
                              <w:rPr>
                                <w:rFonts w:cstheme="minorHAnsi"/>
                                <w:color w:val="FF0000"/>
                                <w:sz w:val="16"/>
                                <w:szCs w:val="16"/>
                              </w:rPr>
                            </w:pPr>
                          </w:p>
                          <w:p w14:paraId="0033A1FD" w14:textId="77777777" w:rsidR="00C23B88" w:rsidRDefault="00C23B88" w:rsidP="00DC6289">
                            <w:pPr>
                              <w:pBdr>
                                <w:right w:val="single" w:sz="24" w:space="4" w:color="A6A6A6" w:themeColor="background1" w:themeShade="A6"/>
                              </w:pBdr>
                              <w:spacing w:line="240" w:lineRule="auto"/>
                              <w:rPr>
                                <w:rFonts w:cstheme="minorHAnsi"/>
                                <w:color w:val="FF0000"/>
                                <w:sz w:val="6"/>
                                <w:szCs w:val="6"/>
                              </w:rPr>
                            </w:pPr>
                          </w:p>
                          <w:p w14:paraId="3BC131CC"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05F7DC7D" w14:textId="77777777" w:rsidR="008D22E6" w:rsidRPr="00BE44B4" w:rsidRDefault="008D22E6" w:rsidP="00DC6289">
                            <w:pPr>
                              <w:pBdr>
                                <w:right w:val="single" w:sz="24" w:space="4" w:color="A6A6A6" w:themeColor="background1" w:themeShade="A6"/>
                              </w:pBdr>
                              <w:spacing w:line="240" w:lineRule="auto"/>
                              <w:rPr>
                                <w:rFonts w:cstheme="minorHAnsi"/>
                                <w:color w:val="FF0000"/>
                                <w:sz w:val="6"/>
                                <w:szCs w:val="6"/>
                              </w:rPr>
                            </w:pPr>
                          </w:p>
                          <w:p w14:paraId="17C4304F" w14:textId="5A5694AF" w:rsidR="00DC6289" w:rsidRDefault="00DC6289" w:rsidP="00DC6289">
                            <w:pPr>
                              <w:pBdr>
                                <w:right w:val="single" w:sz="24" w:space="4" w:color="A6A6A6"/>
                              </w:pBdr>
                              <w:spacing w:after="0" w:line="240" w:lineRule="auto"/>
                              <w:jc w:val="right"/>
                              <w:rPr>
                                <w:rFonts w:cs="Calibri"/>
                                <w:sz w:val="12"/>
                                <w:szCs w:val="12"/>
                              </w:rPr>
                            </w:pPr>
                            <w:r>
                              <w:rPr>
                                <w:rFonts w:cs="Calibri"/>
                                <w:sz w:val="12"/>
                                <w:szCs w:val="12"/>
                              </w:rPr>
                              <w:t xml:space="preserve">Recebido: </w:t>
                            </w:r>
                            <w:r w:rsidR="008E2D1C">
                              <w:rPr>
                                <w:rFonts w:cs="Calibri"/>
                                <w:sz w:val="12"/>
                                <w:szCs w:val="12"/>
                              </w:rPr>
                              <w:t>21</w:t>
                            </w:r>
                            <w:r>
                              <w:rPr>
                                <w:rFonts w:cs="Calibri"/>
                                <w:sz w:val="12"/>
                                <w:szCs w:val="12"/>
                              </w:rPr>
                              <w:t>/0</w:t>
                            </w:r>
                            <w:r w:rsidR="008E2D1C">
                              <w:rPr>
                                <w:rFonts w:cs="Calibri"/>
                                <w:sz w:val="12"/>
                                <w:szCs w:val="12"/>
                              </w:rPr>
                              <w:t>5</w:t>
                            </w:r>
                            <w:r>
                              <w:rPr>
                                <w:rFonts w:cs="Calibri"/>
                                <w:sz w:val="12"/>
                                <w:szCs w:val="12"/>
                              </w:rPr>
                              <w:t>/2024</w:t>
                            </w:r>
                          </w:p>
                          <w:p w14:paraId="5C7E09C2" w14:textId="303F0C4E" w:rsidR="00DC6289" w:rsidRDefault="00DC6289" w:rsidP="00DC6289">
                            <w:pPr>
                              <w:pBdr>
                                <w:right w:val="single" w:sz="24" w:space="4" w:color="A6A6A6" w:themeColor="background1" w:themeShade="A6"/>
                              </w:pBdr>
                              <w:jc w:val="right"/>
                            </w:pPr>
                            <w:r>
                              <w:rPr>
                                <w:rFonts w:cs="Calibri"/>
                                <w:sz w:val="12"/>
                                <w:szCs w:val="12"/>
                              </w:rPr>
                              <w:t xml:space="preserve">Aceite: </w:t>
                            </w:r>
                            <w:r w:rsidR="008E2D1C">
                              <w:rPr>
                                <w:rFonts w:cs="Calibri"/>
                                <w:sz w:val="12"/>
                                <w:szCs w:val="12"/>
                              </w:rPr>
                              <w:t>26</w:t>
                            </w:r>
                            <w:r>
                              <w:rPr>
                                <w:rFonts w:cs="Calibri"/>
                                <w:sz w:val="12"/>
                                <w:szCs w:val="12"/>
                              </w:rPr>
                              <w:t>/0</w:t>
                            </w:r>
                            <w:r w:rsidR="008E2D1C">
                              <w:rPr>
                                <w:rFonts w:cs="Calibri"/>
                                <w:sz w:val="12"/>
                                <w:szCs w:val="12"/>
                              </w:rPr>
                              <w:t>3</w:t>
                            </w:r>
                            <w:r>
                              <w:rPr>
                                <w:rFonts w:cs="Calibri"/>
                                <w:sz w:val="12"/>
                                <w:szCs w:val="12"/>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E70A8" id="_x0000_t202" coordsize="21600,21600" o:spt="202" path="m,l,21600r21600,l21600,xe">
                <v:stroke joinstyle="miter"/>
                <v:path gradientshapeok="t" o:connecttype="rect"/>
              </v:shapetype>
              <v:shape id="Caixa de Texto 2" o:spid="_x0000_s1026" type="#_x0000_t202" style="position:absolute;left:0;text-align:left;margin-left:-16.6pt;margin-top:11pt;width:131.8pt;height:41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" stroked="f">
                <v:textbox>
                  <w:txbxContent>
                    <w:p w14:paraId="13BB5941" w14:textId="3A9D6688" w:rsidR="008D22E6" w:rsidRPr="008D22E6" w:rsidRDefault="00DC6289" w:rsidP="00DC6289">
                      <w:pPr>
                        <w:pBdr>
                          <w:right w:val="single" w:sz="24" w:space="4" w:color="A6A6A6" w:themeColor="background1" w:themeShade="A6"/>
                        </w:pBdr>
                        <w:spacing w:after="0" w:line="240" w:lineRule="auto"/>
                        <w:jc w:val="both"/>
                        <w:rPr>
                          <w:sz w:val="12"/>
                          <w:szCs w:val="12"/>
                        </w:rPr>
                      </w:pPr>
                      <w:r w:rsidRPr="00D33B5B">
                        <w:rPr>
                          <w:sz w:val="12"/>
                          <w:szCs w:val="12"/>
                        </w:rPr>
                        <w:t>*</w:t>
                      </w:r>
                      <w:proofErr w:type="spellStart"/>
                      <w:r>
                        <w:rPr>
                          <w:sz w:val="12"/>
                          <w:szCs w:val="12"/>
                        </w:rPr>
                        <w:t>MSc</w:t>
                      </w:r>
                      <w:proofErr w:type="spellEnd"/>
                      <w:r w:rsidRPr="00CD273F">
                        <w:rPr>
                          <w:sz w:val="12"/>
                          <w:szCs w:val="12"/>
                        </w:rPr>
                        <w:t xml:space="preserve">., Unidade Local de Saúde </w:t>
                      </w:r>
                      <w:r w:rsidR="006B6D81">
                        <w:rPr>
                          <w:sz w:val="12"/>
                          <w:szCs w:val="12"/>
                        </w:rPr>
                        <w:t>Centro Hospitalar</w:t>
                      </w:r>
                      <w:r w:rsidR="008D22E6">
                        <w:rPr>
                          <w:sz w:val="12"/>
                          <w:szCs w:val="12"/>
                        </w:rPr>
                        <w:t xml:space="preserve"> e Universitário </w:t>
                      </w:r>
                      <w:r w:rsidRPr="00CD273F">
                        <w:rPr>
                          <w:sz w:val="12"/>
                          <w:szCs w:val="12"/>
                        </w:rPr>
                        <w:t xml:space="preserve">de Coimbra, Portugal  </w:t>
                      </w:r>
                      <w:r w:rsidR="008D22E6">
                        <w:rPr>
                          <w:sz w:val="12"/>
                          <w:szCs w:val="12"/>
                          <w:lang w:val="en-GB"/>
                        </w:rPr>
                        <w:fldChar w:fldCharType="begin"/>
                      </w:r>
                      <w:r w:rsidR="008D22E6" w:rsidRPr="00AF0BBB">
                        <w:rPr>
                          <w:sz w:val="12"/>
                          <w:szCs w:val="12"/>
                        </w:rPr>
                        <w:instrText>HYPERLINK "https://orcid.org/0000-0002-6572-9252</w:instrText>
                      </w:r>
                    </w:p>
                    <w:p w14:paraId="155BC797" w14:textId="77777777" w:rsidR="008D22E6" w:rsidRPr="00946EF3" w:rsidRDefault="008D22E6" w:rsidP="00DC6289">
                      <w:pPr>
                        <w:pBdr>
                          <w:right w:val="single" w:sz="24" w:space="4" w:color="A6A6A6" w:themeColor="background1" w:themeShade="A6"/>
                        </w:pBdr>
                        <w:spacing w:after="0" w:line="240" w:lineRule="auto"/>
                        <w:jc w:val="both"/>
                        <w:rPr>
                          <w:rStyle w:val="Hiperligao"/>
                          <w:sz w:val="12"/>
                          <w:szCs w:val="12"/>
                        </w:rPr>
                      </w:pPr>
                      <w:r w:rsidRPr="00AF0BBB">
                        <w:rPr>
                          <w:sz w:val="12"/>
                          <w:szCs w:val="12"/>
                        </w:rPr>
                        <w:instrText>"</w:instrText>
                      </w:r>
                      <w:r>
                        <w:rPr>
                          <w:sz w:val="12"/>
                          <w:szCs w:val="12"/>
                          <w:lang w:val="en-GB"/>
                        </w:rPr>
                      </w:r>
                      <w:r>
                        <w:rPr>
                          <w:sz w:val="12"/>
                          <w:szCs w:val="12"/>
                          <w:lang w:val="en-GB"/>
                        </w:rPr>
                        <w:fldChar w:fldCharType="separate"/>
                      </w:r>
                      <w:r w:rsidRPr="00AF0BBB">
                        <w:rPr>
                          <w:rStyle w:val="Hiperligao"/>
                          <w:sz w:val="12"/>
                          <w:szCs w:val="12"/>
                        </w:rPr>
                        <w:t>https://orcid.org/0000-0002-6572-9252</w:t>
                      </w:r>
                    </w:p>
                    <w:p w14:paraId="7A42CE9E" w14:textId="5CC74715" w:rsidR="00DC6289" w:rsidRPr="00CD273F" w:rsidRDefault="008D22E6" w:rsidP="00DC6289">
                      <w:pPr>
                        <w:pBdr>
                          <w:right w:val="single" w:sz="24" w:space="4" w:color="A6A6A6" w:themeColor="background1" w:themeShade="A6"/>
                        </w:pBdr>
                        <w:spacing w:after="0" w:line="240" w:lineRule="auto"/>
                        <w:jc w:val="both"/>
                        <w:rPr>
                          <w:sz w:val="12"/>
                          <w:szCs w:val="12"/>
                        </w:rPr>
                      </w:pPr>
                      <w:r>
                        <w:rPr>
                          <w:sz w:val="12"/>
                          <w:szCs w:val="12"/>
                          <w:lang w:val="en-GB"/>
                        </w:rPr>
                        <w:fldChar w:fldCharType="end"/>
                      </w:r>
                      <w:r w:rsidR="00DC6289" w:rsidRPr="00CD273F">
                        <w:rPr>
                          <w:sz w:val="12"/>
                          <w:szCs w:val="12"/>
                        </w:rPr>
                        <w:t>**</w:t>
                      </w:r>
                      <w:r w:rsidR="00004664">
                        <w:rPr>
                          <w:sz w:val="12"/>
                          <w:szCs w:val="12"/>
                        </w:rPr>
                        <w:t>PhD</w:t>
                      </w:r>
                      <w:r w:rsidR="00DC6289" w:rsidRPr="00CD273F">
                        <w:rPr>
                          <w:sz w:val="12"/>
                          <w:szCs w:val="12"/>
                        </w:rPr>
                        <w:t xml:space="preserve">., </w:t>
                      </w:r>
                      <w:r w:rsidR="00060FE1">
                        <w:rPr>
                          <w:sz w:val="12"/>
                          <w:szCs w:val="12"/>
                        </w:rPr>
                        <w:t>Professora Adjunta na Escola Superior de Saúde Norte da Cruz Vermelha Portuguesa</w:t>
                      </w:r>
                      <w:r w:rsidR="00DC6289" w:rsidRPr="00CD273F">
                        <w:rPr>
                          <w:sz w:val="12"/>
                          <w:szCs w:val="12"/>
                        </w:rPr>
                        <w:t xml:space="preserve"> Portugal</w:t>
                      </w:r>
                      <w:r w:rsidR="0030216B">
                        <w:rPr>
                          <w:sz w:val="12"/>
                          <w:szCs w:val="12"/>
                        </w:rPr>
                        <w:t xml:space="preserve"> </w:t>
                      </w:r>
                      <w:hyperlink r:id="rId11" w:history="1">
                        <w:r w:rsidR="00004664" w:rsidRPr="00AF0BBB">
                          <w:rPr>
                            <w:rStyle w:val="Hiperligao"/>
                            <w:sz w:val="12"/>
                            <w:szCs w:val="12"/>
                          </w:rPr>
                          <w:t>https://orcid.org/0000-0002-4328-3755</w:t>
                        </w:r>
                      </w:hyperlink>
                    </w:p>
                    <w:p w14:paraId="0B38CD71" w14:textId="77777777" w:rsidR="008D22E6" w:rsidRDefault="008D22E6" w:rsidP="00DC6289">
                      <w:pPr>
                        <w:pBdr>
                          <w:right w:val="single" w:sz="24" w:space="4" w:color="A6A6A6" w:themeColor="background1" w:themeShade="A6"/>
                        </w:pBdr>
                        <w:spacing w:after="0" w:line="240" w:lineRule="auto"/>
                        <w:rPr>
                          <w:sz w:val="12"/>
                          <w:szCs w:val="12"/>
                        </w:rPr>
                      </w:pPr>
                    </w:p>
                    <w:p w14:paraId="103B752E" w14:textId="77777777" w:rsidR="008D22E6" w:rsidRDefault="008D22E6" w:rsidP="00DC6289">
                      <w:pPr>
                        <w:pBdr>
                          <w:right w:val="single" w:sz="24" w:space="4" w:color="A6A6A6" w:themeColor="background1" w:themeShade="A6"/>
                        </w:pBdr>
                        <w:spacing w:after="0" w:line="240" w:lineRule="auto"/>
                        <w:rPr>
                          <w:sz w:val="12"/>
                          <w:szCs w:val="12"/>
                        </w:rPr>
                      </w:pPr>
                    </w:p>
                    <w:p w14:paraId="48AF99A9" w14:textId="77777777" w:rsidR="008D22E6" w:rsidRDefault="008D22E6" w:rsidP="00DC6289">
                      <w:pPr>
                        <w:pBdr>
                          <w:right w:val="single" w:sz="24" w:space="4" w:color="A6A6A6" w:themeColor="background1" w:themeShade="A6"/>
                        </w:pBdr>
                        <w:spacing w:after="0" w:line="240" w:lineRule="auto"/>
                        <w:rPr>
                          <w:sz w:val="12"/>
                          <w:szCs w:val="12"/>
                        </w:rPr>
                      </w:pPr>
                    </w:p>
                    <w:p w14:paraId="010E771C" w14:textId="77777777" w:rsidR="008D22E6" w:rsidRDefault="008D22E6" w:rsidP="00DC6289">
                      <w:pPr>
                        <w:pBdr>
                          <w:right w:val="single" w:sz="24" w:space="4" w:color="A6A6A6" w:themeColor="background1" w:themeShade="A6"/>
                        </w:pBdr>
                        <w:spacing w:after="0" w:line="240" w:lineRule="auto"/>
                        <w:rPr>
                          <w:sz w:val="12"/>
                          <w:szCs w:val="12"/>
                        </w:rPr>
                      </w:pPr>
                    </w:p>
                    <w:p w14:paraId="3BF66391" w14:textId="77777777" w:rsidR="008D22E6" w:rsidRDefault="008D22E6" w:rsidP="00DC6289">
                      <w:pPr>
                        <w:pBdr>
                          <w:right w:val="single" w:sz="24" w:space="4" w:color="A6A6A6" w:themeColor="background1" w:themeShade="A6"/>
                        </w:pBdr>
                        <w:spacing w:after="0" w:line="240" w:lineRule="auto"/>
                        <w:rPr>
                          <w:sz w:val="12"/>
                          <w:szCs w:val="12"/>
                        </w:rPr>
                      </w:pPr>
                    </w:p>
                    <w:p w14:paraId="124FE239" w14:textId="77777777" w:rsidR="008D22E6" w:rsidRDefault="008D22E6" w:rsidP="00DC6289">
                      <w:pPr>
                        <w:pBdr>
                          <w:right w:val="single" w:sz="24" w:space="4" w:color="A6A6A6" w:themeColor="background1" w:themeShade="A6"/>
                        </w:pBdr>
                        <w:spacing w:after="0" w:line="240" w:lineRule="auto"/>
                        <w:rPr>
                          <w:sz w:val="12"/>
                          <w:szCs w:val="12"/>
                        </w:rPr>
                      </w:pPr>
                    </w:p>
                    <w:p w14:paraId="1263AB4F" w14:textId="77777777" w:rsidR="008D22E6" w:rsidRDefault="008D22E6" w:rsidP="00DC6289">
                      <w:pPr>
                        <w:pBdr>
                          <w:right w:val="single" w:sz="24" w:space="4" w:color="A6A6A6" w:themeColor="background1" w:themeShade="A6"/>
                        </w:pBdr>
                        <w:spacing w:after="0" w:line="240" w:lineRule="auto"/>
                        <w:rPr>
                          <w:sz w:val="12"/>
                          <w:szCs w:val="12"/>
                        </w:rPr>
                      </w:pPr>
                    </w:p>
                    <w:p w14:paraId="32D18B52" w14:textId="77777777" w:rsidR="008D22E6" w:rsidRDefault="008D22E6" w:rsidP="00DC6289">
                      <w:pPr>
                        <w:pBdr>
                          <w:right w:val="single" w:sz="24" w:space="4" w:color="A6A6A6" w:themeColor="background1" w:themeShade="A6"/>
                        </w:pBdr>
                        <w:spacing w:after="0" w:line="240" w:lineRule="auto"/>
                        <w:rPr>
                          <w:sz w:val="12"/>
                          <w:szCs w:val="12"/>
                        </w:rPr>
                      </w:pPr>
                    </w:p>
                    <w:p w14:paraId="709C2F73" w14:textId="77777777" w:rsidR="008D22E6" w:rsidRDefault="008D22E6" w:rsidP="00DC6289">
                      <w:pPr>
                        <w:pBdr>
                          <w:right w:val="single" w:sz="24" w:space="4" w:color="A6A6A6" w:themeColor="background1" w:themeShade="A6"/>
                        </w:pBdr>
                        <w:spacing w:after="0" w:line="240" w:lineRule="auto"/>
                        <w:rPr>
                          <w:sz w:val="12"/>
                          <w:szCs w:val="12"/>
                        </w:rPr>
                      </w:pPr>
                    </w:p>
                    <w:p w14:paraId="325C4A70" w14:textId="76568794" w:rsidR="00DC6289" w:rsidRPr="00CD273F" w:rsidRDefault="00DC6289" w:rsidP="00DC6289">
                      <w:pPr>
                        <w:pBdr>
                          <w:right w:val="single" w:sz="24" w:space="4" w:color="A6A6A6" w:themeColor="background1" w:themeShade="A6"/>
                        </w:pBdr>
                        <w:spacing w:after="0" w:line="240" w:lineRule="auto"/>
                        <w:rPr>
                          <w:rFonts w:cstheme="minorHAnsi"/>
                          <w:b/>
                          <w:sz w:val="12"/>
                          <w:szCs w:val="12"/>
                        </w:rPr>
                      </w:pPr>
                      <w:r w:rsidRPr="00CD273F">
                        <w:rPr>
                          <w:rFonts w:cstheme="minorHAnsi"/>
                          <w:b/>
                          <w:sz w:val="12"/>
                          <w:szCs w:val="12"/>
                        </w:rPr>
                        <w:t>Autor de correspondência:</w:t>
                      </w:r>
                    </w:p>
                    <w:p w14:paraId="19A08B93" w14:textId="30A315E7" w:rsidR="00DC6289" w:rsidRPr="00CD273F" w:rsidRDefault="00042FD5" w:rsidP="00DC6289">
                      <w:pPr>
                        <w:pBdr>
                          <w:right w:val="single" w:sz="24" w:space="4" w:color="A6A6A6" w:themeColor="background1" w:themeShade="A6"/>
                        </w:pBdr>
                        <w:spacing w:after="0" w:line="240" w:lineRule="auto"/>
                        <w:rPr>
                          <w:rFonts w:cstheme="minorHAnsi"/>
                          <w:sz w:val="12"/>
                          <w:szCs w:val="12"/>
                        </w:rPr>
                      </w:pPr>
                      <w:r>
                        <w:rPr>
                          <w:sz w:val="12"/>
                          <w:szCs w:val="12"/>
                        </w:rPr>
                        <w:t>Luciana Forte</w:t>
                      </w:r>
                    </w:p>
                    <w:p w14:paraId="3F17348F" w14:textId="081EC346" w:rsidR="00DC6289" w:rsidRPr="00CD273F" w:rsidRDefault="00042FD5" w:rsidP="00DC6289">
                      <w:pPr>
                        <w:pBdr>
                          <w:right w:val="single" w:sz="24" w:space="4" w:color="A6A6A6" w:themeColor="background1" w:themeShade="A6"/>
                        </w:pBdr>
                        <w:spacing w:after="0" w:line="240" w:lineRule="auto"/>
                        <w:rPr>
                          <w:rFonts w:cstheme="minorHAnsi"/>
                          <w:sz w:val="12"/>
                          <w:szCs w:val="12"/>
                        </w:rPr>
                      </w:pPr>
                      <w:hyperlink r:id="rId12" w:history="1">
                        <w:r w:rsidRPr="00AF0BBB">
                          <w:rPr>
                            <w:rStyle w:val="Hiperligao"/>
                            <w:sz w:val="12"/>
                            <w:szCs w:val="12"/>
                          </w:rPr>
                          <w:t>lucianaforte@gmail.com</w:t>
                        </w:r>
                      </w:hyperlink>
                    </w:p>
                    <w:p w14:paraId="78482797" w14:textId="77777777" w:rsidR="00DC6289" w:rsidRPr="00BE44B4" w:rsidRDefault="00DC6289" w:rsidP="00DC6289">
                      <w:pPr>
                        <w:pBdr>
                          <w:right w:val="single" w:sz="24" w:space="4" w:color="A6A6A6" w:themeColor="background1" w:themeShade="A6"/>
                        </w:pBdr>
                        <w:spacing w:after="0" w:line="240" w:lineRule="auto"/>
                        <w:rPr>
                          <w:rFonts w:cstheme="minorHAnsi"/>
                          <w:sz w:val="6"/>
                          <w:szCs w:val="6"/>
                        </w:rPr>
                      </w:pPr>
                    </w:p>
                    <w:p w14:paraId="0323BD4D" w14:textId="77777777" w:rsidR="00DC6289" w:rsidRDefault="00DC6289" w:rsidP="00DC6289">
                      <w:pPr>
                        <w:pBdr>
                          <w:right w:val="single" w:sz="24" w:space="4" w:color="A6A6A6" w:themeColor="background1" w:themeShade="A6"/>
                        </w:pBdr>
                        <w:spacing w:after="0" w:line="240" w:lineRule="auto"/>
                        <w:rPr>
                          <w:rFonts w:cstheme="minorHAnsi"/>
                          <w:sz w:val="12"/>
                          <w:szCs w:val="12"/>
                        </w:rPr>
                      </w:pPr>
                    </w:p>
                    <w:p w14:paraId="3AA5D78E"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6A462B3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51E6A25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7D3930AF"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23C439CD"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67326E1C"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4EAC3E0B"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44BBD269"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1AAAAAA1"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716882F6" w14:textId="77777777" w:rsidR="008D22E6" w:rsidRDefault="008D22E6" w:rsidP="00DC6289">
                      <w:pPr>
                        <w:pBdr>
                          <w:right w:val="single" w:sz="24" w:space="4" w:color="A6A6A6" w:themeColor="background1" w:themeShade="A6"/>
                        </w:pBdr>
                        <w:spacing w:after="0" w:line="240" w:lineRule="auto"/>
                        <w:rPr>
                          <w:rFonts w:cstheme="minorHAnsi"/>
                          <w:sz w:val="12"/>
                          <w:szCs w:val="12"/>
                        </w:rPr>
                      </w:pPr>
                    </w:p>
                    <w:p w14:paraId="26201223" w14:textId="77777777" w:rsidR="008D22E6" w:rsidRPr="00836438" w:rsidRDefault="008D22E6" w:rsidP="00DC6289">
                      <w:pPr>
                        <w:pBdr>
                          <w:right w:val="single" w:sz="24" w:space="4" w:color="A6A6A6" w:themeColor="background1" w:themeShade="A6"/>
                        </w:pBdr>
                        <w:spacing w:after="0" w:line="240" w:lineRule="auto"/>
                        <w:rPr>
                          <w:rFonts w:cstheme="minorHAnsi"/>
                          <w:sz w:val="12"/>
                          <w:szCs w:val="12"/>
                        </w:rPr>
                      </w:pPr>
                    </w:p>
                    <w:p w14:paraId="0D21E6C0" w14:textId="77777777" w:rsidR="00DC6289" w:rsidRPr="000A59B9" w:rsidRDefault="00DC6289" w:rsidP="00DC6289">
                      <w:pPr>
                        <w:pBdr>
                          <w:right w:val="single" w:sz="24" w:space="4" w:color="A6A6A6" w:themeColor="background1" w:themeShade="A6"/>
                        </w:pBdr>
                        <w:spacing w:after="0" w:line="240" w:lineRule="auto"/>
                        <w:jc w:val="both"/>
                        <w:rPr>
                          <w:rFonts w:cstheme="minorHAnsi"/>
                          <w:b/>
                          <w:sz w:val="12"/>
                          <w:szCs w:val="12"/>
                        </w:rPr>
                      </w:pPr>
                      <w:bookmarkStart w:id="1" w:name="_Hlk150510432"/>
                      <w:r w:rsidRPr="000A59B9">
                        <w:rPr>
                          <w:rFonts w:cstheme="minorHAnsi"/>
                          <w:b/>
                          <w:sz w:val="12"/>
                          <w:szCs w:val="12"/>
                        </w:rPr>
                        <w:t>Como referenciar:</w:t>
                      </w:r>
                    </w:p>
                    <w:p w14:paraId="689E1AEF" w14:textId="57DDEB87" w:rsidR="00DC6289" w:rsidRPr="0039086C" w:rsidRDefault="008D22E6" w:rsidP="00DC6289">
                      <w:pPr>
                        <w:pBdr>
                          <w:right w:val="single" w:sz="24" w:space="4" w:color="A6A6A6" w:themeColor="background1" w:themeShade="A6"/>
                        </w:pBdr>
                        <w:spacing w:after="0" w:line="240" w:lineRule="auto"/>
                        <w:jc w:val="both"/>
                        <w:rPr>
                          <w:rFonts w:cstheme="minorHAnsi"/>
                          <w:sz w:val="12"/>
                          <w:szCs w:val="12"/>
                        </w:rPr>
                      </w:pPr>
                      <w:proofErr w:type="spellStart"/>
                      <w:r>
                        <w:rPr>
                          <w:rFonts w:cstheme="minorHAnsi"/>
                          <w:sz w:val="12"/>
                          <w:szCs w:val="12"/>
                        </w:rPr>
                        <w:t>Foorte</w:t>
                      </w:r>
                      <w:proofErr w:type="spellEnd"/>
                      <w:r>
                        <w:rPr>
                          <w:rFonts w:cstheme="minorHAnsi"/>
                          <w:sz w:val="12"/>
                          <w:szCs w:val="12"/>
                        </w:rPr>
                        <w:t>, L.,</w:t>
                      </w:r>
                      <w:r w:rsidR="00DC6289">
                        <w:rPr>
                          <w:rFonts w:cstheme="minorHAnsi"/>
                          <w:sz w:val="12"/>
                          <w:szCs w:val="12"/>
                        </w:rPr>
                        <w:t xml:space="preserve"> </w:t>
                      </w:r>
                      <w:r w:rsidR="00DC6289" w:rsidRPr="00CD273F">
                        <w:rPr>
                          <w:rFonts w:cstheme="minorHAnsi"/>
                          <w:sz w:val="12"/>
                          <w:szCs w:val="12"/>
                        </w:rPr>
                        <w:t xml:space="preserve">&amp; </w:t>
                      </w:r>
                      <w:r>
                        <w:rPr>
                          <w:rFonts w:cstheme="minorHAnsi"/>
                          <w:sz w:val="12"/>
                          <w:szCs w:val="12"/>
                        </w:rPr>
                        <w:t>Novais, S</w:t>
                      </w:r>
                      <w:r w:rsidR="00DC6289" w:rsidRPr="00CD273F">
                        <w:rPr>
                          <w:rFonts w:cstheme="minorHAnsi"/>
                          <w:sz w:val="12"/>
                          <w:szCs w:val="12"/>
                        </w:rPr>
                        <w:t>.</w:t>
                      </w:r>
                      <w:r w:rsidR="00DC6289">
                        <w:rPr>
                          <w:rFonts w:cstheme="minorHAnsi"/>
                          <w:sz w:val="12"/>
                          <w:szCs w:val="12"/>
                        </w:rPr>
                        <w:t xml:space="preserve"> </w:t>
                      </w:r>
                      <w:r w:rsidR="00DC6289" w:rsidRPr="00CD273F">
                        <w:rPr>
                          <w:rFonts w:cstheme="minorHAnsi"/>
                          <w:sz w:val="12"/>
                          <w:szCs w:val="12"/>
                        </w:rPr>
                        <w:t>(2025).</w:t>
                      </w:r>
                      <w:r w:rsidR="00DC6289">
                        <w:rPr>
                          <w:rFonts w:cstheme="minorHAnsi"/>
                          <w:sz w:val="12"/>
                          <w:szCs w:val="12"/>
                        </w:rPr>
                        <w:t xml:space="preserve"> </w:t>
                      </w:r>
                      <w:r w:rsidR="00E75A67" w:rsidRPr="00E75A67">
                        <w:rPr>
                          <w:rFonts w:cstheme="minorHAnsi"/>
                          <w:bCs/>
                          <w:sz w:val="12"/>
                          <w:szCs w:val="12"/>
                        </w:rPr>
                        <w:t>Fatores de risco de ILC após Artroplastia do Joelho – scoping review</w:t>
                      </w:r>
                      <w:r w:rsidR="00E75A67">
                        <w:rPr>
                          <w:rFonts w:cstheme="minorHAnsi"/>
                          <w:bCs/>
                          <w:sz w:val="12"/>
                          <w:szCs w:val="12"/>
                        </w:rPr>
                        <w:t>.</w:t>
                      </w:r>
                      <w:r w:rsidR="00DC6289">
                        <w:rPr>
                          <w:rFonts w:cstheme="minorHAnsi"/>
                          <w:sz w:val="12"/>
                          <w:szCs w:val="12"/>
                        </w:rPr>
                        <w:t xml:space="preserve"> </w:t>
                      </w:r>
                      <w:r w:rsidR="00DC6289" w:rsidRPr="00CD273F">
                        <w:rPr>
                          <w:rFonts w:cstheme="minorHAnsi"/>
                          <w:i/>
                          <w:sz w:val="12"/>
                          <w:szCs w:val="12"/>
                        </w:rPr>
                        <w:t>R</w:t>
                      </w:r>
                      <w:r w:rsidR="00DC6289" w:rsidRPr="0039086C">
                        <w:rPr>
                          <w:rFonts w:cstheme="minorHAnsi"/>
                          <w:i/>
                          <w:sz w:val="12"/>
                          <w:szCs w:val="12"/>
                        </w:rPr>
                        <w:t>evista de Investigação &amp; Inovação em Saúde,</w:t>
                      </w:r>
                      <w:r w:rsidR="00DC6289" w:rsidRPr="0039086C">
                        <w:rPr>
                          <w:rFonts w:cstheme="minorHAnsi"/>
                          <w:sz w:val="12"/>
                          <w:szCs w:val="12"/>
                        </w:rPr>
                        <w:t xml:space="preserve"> </w:t>
                      </w:r>
                      <w:r w:rsidR="00DC6289" w:rsidRPr="0039086C">
                        <w:rPr>
                          <w:rFonts w:cstheme="minorHAnsi"/>
                          <w:i/>
                          <w:iCs/>
                          <w:sz w:val="12"/>
                          <w:szCs w:val="12"/>
                        </w:rPr>
                        <w:t>8</w:t>
                      </w:r>
                      <w:r w:rsidR="00DC6289" w:rsidRPr="0039086C">
                        <w:rPr>
                          <w:rFonts w:cstheme="minorHAnsi"/>
                          <w:sz w:val="12"/>
                          <w:szCs w:val="12"/>
                        </w:rPr>
                        <w:t>(1), 1-1</w:t>
                      </w:r>
                      <w:r w:rsidR="00711372" w:rsidRPr="0039086C">
                        <w:rPr>
                          <w:rFonts w:cstheme="minorHAnsi"/>
                          <w:sz w:val="12"/>
                          <w:szCs w:val="12"/>
                        </w:rPr>
                        <w:t>5</w:t>
                      </w:r>
                      <w:r w:rsidR="00DC6289" w:rsidRPr="0039086C">
                        <w:rPr>
                          <w:rFonts w:cstheme="minorHAnsi"/>
                          <w:sz w:val="12"/>
                          <w:szCs w:val="12"/>
                        </w:rPr>
                        <w:t>.</w:t>
                      </w:r>
                    </w:p>
                    <w:p w14:paraId="147C22BA" w14:textId="4B67DEA8" w:rsidR="00DC6289" w:rsidRPr="00414691" w:rsidRDefault="008D22E6" w:rsidP="00DC6289">
                      <w:pPr>
                        <w:pBdr>
                          <w:right w:val="single" w:sz="24" w:space="4" w:color="A6A6A6" w:themeColor="background1" w:themeShade="A6"/>
                        </w:pBdr>
                        <w:spacing w:after="0" w:line="240" w:lineRule="auto"/>
                        <w:jc w:val="both"/>
                        <w:rPr>
                          <w:rStyle w:val="Hiperligao"/>
                          <w:rFonts w:cstheme="minorHAnsi"/>
                          <w:sz w:val="12"/>
                          <w:szCs w:val="12"/>
                        </w:rPr>
                      </w:pPr>
                      <w:hyperlink r:id="rId13" w:history="1">
                        <w:r w:rsidRPr="0039086C">
                          <w:rPr>
                            <w:rStyle w:val="Hiperligao"/>
                            <w:rFonts w:cstheme="minorHAnsi"/>
                            <w:sz w:val="12"/>
                            <w:szCs w:val="12"/>
                          </w:rPr>
                          <w:t>https://doi.org/10.37914/riis.v8i1.404</w:t>
                        </w:r>
                      </w:hyperlink>
                    </w:p>
                    <w:bookmarkEnd w:id="1"/>
                    <w:p w14:paraId="794CF0F0" w14:textId="77777777" w:rsidR="00DC6289" w:rsidRDefault="00DC6289" w:rsidP="00DC6289">
                      <w:pPr>
                        <w:pBdr>
                          <w:right w:val="single" w:sz="24" w:space="4" w:color="A6A6A6" w:themeColor="background1" w:themeShade="A6"/>
                        </w:pBdr>
                        <w:spacing w:line="240" w:lineRule="auto"/>
                        <w:rPr>
                          <w:rFonts w:cstheme="minorHAnsi"/>
                          <w:color w:val="FF0000"/>
                          <w:sz w:val="6"/>
                          <w:szCs w:val="6"/>
                        </w:rPr>
                      </w:pPr>
                    </w:p>
                    <w:p w14:paraId="69086B6D"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10DCC68F"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7CBADC98"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4D5618B1"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28E98BC3" w14:textId="77777777" w:rsidR="00C23B88" w:rsidRDefault="00C23B88" w:rsidP="00DC6289">
                      <w:pPr>
                        <w:pBdr>
                          <w:right w:val="single" w:sz="24" w:space="4" w:color="A6A6A6" w:themeColor="background1" w:themeShade="A6"/>
                        </w:pBdr>
                        <w:spacing w:line="240" w:lineRule="auto"/>
                        <w:rPr>
                          <w:rFonts w:cstheme="minorHAnsi"/>
                          <w:color w:val="FF0000"/>
                          <w:sz w:val="6"/>
                          <w:szCs w:val="6"/>
                        </w:rPr>
                      </w:pPr>
                    </w:p>
                    <w:p w14:paraId="0377B1A8" w14:textId="77777777" w:rsidR="008D22E6" w:rsidRPr="00D969E8" w:rsidRDefault="008D22E6" w:rsidP="00DC6289">
                      <w:pPr>
                        <w:pBdr>
                          <w:right w:val="single" w:sz="24" w:space="4" w:color="A6A6A6" w:themeColor="background1" w:themeShade="A6"/>
                        </w:pBdr>
                        <w:spacing w:line="240" w:lineRule="auto"/>
                        <w:rPr>
                          <w:rFonts w:cstheme="minorHAnsi"/>
                          <w:color w:val="FF0000"/>
                          <w:sz w:val="16"/>
                          <w:szCs w:val="16"/>
                        </w:rPr>
                      </w:pPr>
                    </w:p>
                    <w:p w14:paraId="0033A1FD" w14:textId="77777777" w:rsidR="00C23B88" w:rsidRDefault="00C23B88" w:rsidP="00DC6289">
                      <w:pPr>
                        <w:pBdr>
                          <w:right w:val="single" w:sz="24" w:space="4" w:color="A6A6A6" w:themeColor="background1" w:themeShade="A6"/>
                        </w:pBdr>
                        <w:spacing w:line="240" w:lineRule="auto"/>
                        <w:rPr>
                          <w:rFonts w:cstheme="minorHAnsi"/>
                          <w:color w:val="FF0000"/>
                          <w:sz w:val="6"/>
                          <w:szCs w:val="6"/>
                        </w:rPr>
                      </w:pPr>
                    </w:p>
                    <w:p w14:paraId="3BC131CC" w14:textId="77777777" w:rsidR="008D22E6" w:rsidRDefault="008D22E6" w:rsidP="00DC6289">
                      <w:pPr>
                        <w:pBdr>
                          <w:right w:val="single" w:sz="24" w:space="4" w:color="A6A6A6" w:themeColor="background1" w:themeShade="A6"/>
                        </w:pBdr>
                        <w:spacing w:line="240" w:lineRule="auto"/>
                        <w:rPr>
                          <w:rFonts w:cstheme="minorHAnsi"/>
                          <w:color w:val="FF0000"/>
                          <w:sz w:val="6"/>
                          <w:szCs w:val="6"/>
                        </w:rPr>
                      </w:pPr>
                    </w:p>
                    <w:p w14:paraId="05F7DC7D" w14:textId="77777777" w:rsidR="008D22E6" w:rsidRPr="00BE44B4" w:rsidRDefault="008D22E6" w:rsidP="00DC6289">
                      <w:pPr>
                        <w:pBdr>
                          <w:right w:val="single" w:sz="24" w:space="4" w:color="A6A6A6" w:themeColor="background1" w:themeShade="A6"/>
                        </w:pBdr>
                        <w:spacing w:line="240" w:lineRule="auto"/>
                        <w:rPr>
                          <w:rFonts w:cstheme="minorHAnsi"/>
                          <w:color w:val="FF0000"/>
                          <w:sz w:val="6"/>
                          <w:szCs w:val="6"/>
                        </w:rPr>
                      </w:pPr>
                    </w:p>
                    <w:p w14:paraId="17C4304F" w14:textId="5A5694AF" w:rsidR="00DC6289" w:rsidRDefault="00DC6289" w:rsidP="00DC6289">
                      <w:pPr>
                        <w:pBdr>
                          <w:right w:val="single" w:sz="24" w:space="4" w:color="A6A6A6"/>
                        </w:pBdr>
                        <w:spacing w:after="0" w:line="240" w:lineRule="auto"/>
                        <w:jc w:val="right"/>
                        <w:rPr>
                          <w:rFonts w:cs="Calibri"/>
                          <w:sz w:val="12"/>
                          <w:szCs w:val="12"/>
                        </w:rPr>
                      </w:pPr>
                      <w:r>
                        <w:rPr>
                          <w:rFonts w:cs="Calibri"/>
                          <w:sz w:val="12"/>
                          <w:szCs w:val="12"/>
                        </w:rPr>
                        <w:t xml:space="preserve">Recebido: </w:t>
                      </w:r>
                      <w:r w:rsidR="008E2D1C">
                        <w:rPr>
                          <w:rFonts w:cs="Calibri"/>
                          <w:sz w:val="12"/>
                          <w:szCs w:val="12"/>
                        </w:rPr>
                        <w:t>21</w:t>
                      </w:r>
                      <w:r>
                        <w:rPr>
                          <w:rFonts w:cs="Calibri"/>
                          <w:sz w:val="12"/>
                          <w:szCs w:val="12"/>
                        </w:rPr>
                        <w:t>/0</w:t>
                      </w:r>
                      <w:r w:rsidR="008E2D1C">
                        <w:rPr>
                          <w:rFonts w:cs="Calibri"/>
                          <w:sz w:val="12"/>
                          <w:szCs w:val="12"/>
                        </w:rPr>
                        <w:t>5</w:t>
                      </w:r>
                      <w:r>
                        <w:rPr>
                          <w:rFonts w:cs="Calibri"/>
                          <w:sz w:val="12"/>
                          <w:szCs w:val="12"/>
                        </w:rPr>
                        <w:t>/2024</w:t>
                      </w:r>
                    </w:p>
                    <w:p w14:paraId="5C7E09C2" w14:textId="303F0C4E" w:rsidR="00DC6289" w:rsidRDefault="00DC6289" w:rsidP="00DC6289">
                      <w:pPr>
                        <w:pBdr>
                          <w:right w:val="single" w:sz="24" w:space="4" w:color="A6A6A6" w:themeColor="background1" w:themeShade="A6"/>
                        </w:pBdr>
                        <w:jc w:val="right"/>
                      </w:pPr>
                      <w:r>
                        <w:rPr>
                          <w:rFonts w:cs="Calibri"/>
                          <w:sz w:val="12"/>
                          <w:szCs w:val="12"/>
                        </w:rPr>
                        <w:t xml:space="preserve">Aceite: </w:t>
                      </w:r>
                      <w:r w:rsidR="008E2D1C">
                        <w:rPr>
                          <w:rFonts w:cs="Calibri"/>
                          <w:sz w:val="12"/>
                          <w:szCs w:val="12"/>
                        </w:rPr>
                        <w:t>26</w:t>
                      </w:r>
                      <w:r>
                        <w:rPr>
                          <w:rFonts w:cs="Calibri"/>
                          <w:sz w:val="12"/>
                          <w:szCs w:val="12"/>
                        </w:rPr>
                        <w:t>/0</w:t>
                      </w:r>
                      <w:r w:rsidR="008E2D1C">
                        <w:rPr>
                          <w:rFonts w:cs="Calibri"/>
                          <w:sz w:val="12"/>
                          <w:szCs w:val="12"/>
                        </w:rPr>
                        <w:t>3</w:t>
                      </w:r>
                      <w:r>
                        <w:rPr>
                          <w:rFonts w:cs="Calibri"/>
                          <w:sz w:val="12"/>
                          <w:szCs w:val="12"/>
                        </w:rPr>
                        <w:t>/2025</w:t>
                      </w:r>
                    </w:p>
                  </w:txbxContent>
                </v:textbox>
                <w10:wrap type="square"/>
              </v:shape>
            </w:pict>
          </mc:Fallback>
        </mc:AlternateContent>
      </w:r>
    </w:p>
    <w:p w14:paraId="383DE728" w14:textId="31CD015F" w:rsidR="00563603" w:rsidRPr="00AF0BBB" w:rsidRDefault="00ED4976" w:rsidP="0026366B">
      <w:pPr>
        <w:spacing w:after="0" w:line="240" w:lineRule="auto"/>
        <w:ind w:left="2268" w:right="-170"/>
        <w:jc w:val="both"/>
        <w:rPr>
          <w:rFonts w:ascii="Calibri" w:hAnsi="Calibri" w:cs="Calibri"/>
          <w:b/>
          <w:sz w:val="19"/>
          <w:szCs w:val="19"/>
          <w:shd w:val="clear" w:color="auto" w:fill="FFFFFF"/>
          <w:lang w:val="en-US"/>
        </w:rPr>
      </w:pPr>
      <w:r w:rsidRPr="00AF0BBB">
        <w:rPr>
          <w:rFonts w:ascii="Calibri" w:hAnsi="Calibri" w:cs="Calibri"/>
          <w:b/>
          <w:sz w:val="19"/>
          <w:szCs w:val="19"/>
          <w:shd w:val="clear" w:color="auto" w:fill="FFFFFF"/>
          <w:lang w:val="en-US"/>
        </w:rPr>
        <w:t>ABSTRACT</w:t>
      </w:r>
    </w:p>
    <w:p w14:paraId="44A03EF3" w14:textId="7CE29FF2" w:rsidR="00B61761" w:rsidRPr="001C0E1E" w:rsidRDefault="006629CF" w:rsidP="00323E72">
      <w:pPr>
        <w:spacing w:after="0" w:line="240" w:lineRule="auto"/>
        <w:ind w:left="2268" w:right="-170"/>
        <w:jc w:val="both"/>
        <w:rPr>
          <w:rFonts w:eastAsia="Arial" w:cstheme="minorHAnsi"/>
          <w:color w:val="000000"/>
          <w:sz w:val="19"/>
          <w:szCs w:val="19"/>
          <w:lang w:val="en-US"/>
        </w:rPr>
      </w:pPr>
      <w:r w:rsidRPr="001C0E1E">
        <w:rPr>
          <w:rFonts w:eastAsia="Arial" w:cstheme="minorHAnsi"/>
          <w:b/>
          <w:bCs/>
          <w:color w:val="000000"/>
          <w:sz w:val="19"/>
          <w:szCs w:val="19"/>
          <w:lang w:val="en-US"/>
        </w:rPr>
        <w:t>Background</w:t>
      </w:r>
      <w:r w:rsidR="00563603" w:rsidRPr="001C0E1E">
        <w:rPr>
          <w:rFonts w:eastAsia="Arial" w:cstheme="minorHAnsi"/>
          <w:color w:val="000000"/>
          <w:sz w:val="19"/>
          <w:szCs w:val="19"/>
          <w:lang w:val="en-US"/>
        </w:rPr>
        <w:t xml:space="preserve">: </w:t>
      </w:r>
      <w:r w:rsidRPr="001C0E1E">
        <w:rPr>
          <w:rFonts w:eastAsia="Arial"/>
          <w:color w:val="000000"/>
          <w:sz w:val="19"/>
          <w:szCs w:val="19"/>
          <w:lang w:val="en-US"/>
        </w:rPr>
        <w:t xml:space="preserve">the </w:t>
      </w:r>
      <w:r w:rsidR="00B61761" w:rsidRPr="001C0E1E">
        <w:rPr>
          <w:rFonts w:eastAsia="Arial"/>
          <w:color w:val="000000"/>
          <w:sz w:val="19"/>
          <w:szCs w:val="19"/>
          <w:lang w:val="en-US"/>
        </w:rPr>
        <w:t xml:space="preserve">risk factors for surgical site infection (SSI) after Knee Replacement Arthroplasty have an impact on the safety and quality of life of the person in the perioperative situation and on increased costs for healthcare units. It appears that this topic is mostly studied in conjunction with the risk factors for SSI after hip arthroplasty. It is essential to approach it in isolation, to create risk identification tools that allow identifying the people most vulnerable to surgical site infections in this surgery. </w:t>
      </w:r>
      <w:r w:rsidRPr="001C0E1E">
        <w:rPr>
          <w:rFonts w:eastAsia="Arial"/>
          <w:b/>
          <w:bCs/>
          <w:color w:val="000000"/>
          <w:sz w:val="19"/>
          <w:szCs w:val="19"/>
          <w:lang w:val="en-US"/>
        </w:rPr>
        <w:t>Objectives</w:t>
      </w:r>
      <w:r w:rsidR="00B61761" w:rsidRPr="001C0E1E">
        <w:rPr>
          <w:rFonts w:eastAsia="Arial"/>
          <w:color w:val="000000"/>
          <w:sz w:val="19"/>
          <w:szCs w:val="19"/>
          <w:lang w:val="en-US"/>
        </w:rPr>
        <w:t xml:space="preserve">: </w:t>
      </w:r>
      <w:r w:rsidRPr="001C0E1E">
        <w:rPr>
          <w:rFonts w:eastAsia="Arial"/>
          <w:color w:val="000000"/>
          <w:sz w:val="19"/>
          <w:szCs w:val="19"/>
          <w:lang w:val="en-US"/>
        </w:rPr>
        <w:t xml:space="preserve">to </w:t>
      </w:r>
      <w:r w:rsidR="00B61761" w:rsidRPr="001C0E1E">
        <w:rPr>
          <w:rFonts w:eastAsia="Arial"/>
          <w:color w:val="000000"/>
          <w:sz w:val="19"/>
          <w:szCs w:val="19"/>
          <w:lang w:val="en-US"/>
        </w:rPr>
        <w:t xml:space="preserve">map the evidence on the risk factors for SSI in people undergoing Knee Replacement Arthroplasty. </w:t>
      </w:r>
      <w:r w:rsidRPr="001C0E1E">
        <w:rPr>
          <w:rFonts w:eastAsia="Arial"/>
          <w:b/>
          <w:bCs/>
          <w:color w:val="000000"/>
          <w:sz w:val="19"/>
          <w:szCs w:val="19"/>
          <w:lang w:val="en-US"/>
        </w:rPr>
        <w:t>Methodology</w:t>
      </w:r>
      <w:r w:rsidR="00B61761" w:rsidRPr="001C0E1E">
        <w:rPr>
          <w:rFonts w:eastAsia="Arial"/>
          <w:color w:val="000000"/>
          <w:sz w:val="19"/>
          <w:szCs w:val="19"/>
          <w:lang w:val="en-US"/>
        </w:rPr>
        <w:t xml:space="preserve">: </w:t>
      </w:r>
      <w:r w:rsidRPr="001C0E1E">
        <w:rPr>
          <w:rFonts w:eastAsia="Arial"/>
          <w:color w:val="000000"/>
          <w:sz w:val="19"/>
          <w:szCs w:val="19"/>
          <w:lang w:val="en-US"/>
        </w:rPr>
        <w:t xml:space="preserve">scoping </w:t>
      </w:r>
      <w:r w:rsidR="00B61761" w:rsidRPr="001C0E1E">
        <w:rPr>
          <w:rFonts w:eastAsia="Arial"/>
          <w:color w:val="000000"/>
          <w:sz w:val="19"/>
          <w:szCs w:val="19"/>
          <w:lang w:val="en-US"/>
        </w:rPr>
        <w:t xml:space="preserve">review guided by the Joanna Briggs Institute methodology. Time limit applied from 2018 to 2024, based on a review identified on this topic. </w:t>
      </w:r>
      <w:r w:rsidRPr="001C0E1E">
        <w:rPr>
          <w:rFonts w:eastAsia="Arial"/>
          <w:b/>
          <w:bCs/>
          <w:color w:val="000000"/>
          <w:sz w:val="19"/>
          <w:szCs w:val="19"/>
          <w:lang w:val="en-US"/>
        </w:rPr>
        <w:t>Results</w:t>
      </w:r>
      <w:r w:rsidR="00B61761" w:rsidRPr="001C0E1E">
        <w:rPr>
          <w:rFonts w:eastAsia="Arial"/>
          <w:color w:val="000000"/>
          <w:sz w:val="19"/>
          <w:szCs w:val="19"/>
          <w:lang w:val="en-US"/>
        </w:rPr>
        <w:t xml:space="preserve">: 27 articles were included in the review, and modifiable and non-modifiable risk factors in the perioperative period were identified. The advanced skills of the specialist nurse to minimize/eliminate the risk of SSI are fundamental, especially in modifiable risk factors. </w:t>
      </w:r>
      <w:r w:rsidRPr="001C0E1E">
        <w:rPr>
          <w:rFonts w:eastAsia="Arial"/>
          <w:b/>
          <w:bCs/>
          <w:color w:val="000000"/>
          <w:sz w:val="19"/>
          <w:szCs w:val="19"/>
          <w:lang w:val="en-US"/>
        </w:rPr>
        <w:t>Conclusion</w:t>
      </w:r>
      <w:r w:rsidR="00B61761" w:rsidRPr="001C0E1E">
        <w:rPr>
          <w:rFonts w:eastAsia="Arial"/>
          <w:color w:val="000000"/>
          <w:sz w:val="19"/>
          <w:szCs w:val="19"/>
          <w:lang w:val="en-US"/>
        </w:rPr>
        <w:t xml:space="preserve">: </w:t>
      </w:r>
      <w:r w:rsidRPr="001C0E1E">
        <w:rPr>
          <w:rFonts w:eastAsia="Arial"/>
          <w:color w:val="000000"/>
          <w:sz w:val="19"/>
          <w:szCs w:val="19"/>
          <w:lang w:val="en-US"/>
        </w:rPr>
        <w:t xml:space="preserve">risk </w:t>
      </w:r>
      <w:r w:rsidR="00B61761" w:rsidRPr="001C0E1E">
        <w:rPr>
          <w:rFonts w:eastAsia="Arial"/>
          <w:color w:val="000000"/>
          <w:sz w:val="19"/>
          <w:szCs w:val="19"/>
          <w:lang w:val="en-US"/>
        </w:rPr>
        <w:t>factors are present in the perioperative period, some being intrinsic to the person themselves and others resulting from the practices of health professionals themselves, putting surgical safety at risk.</w:t>
      </w:r>
    </w:p>
    <w:p w14:paraId="3C0369DA" w14:textId="63FEDDA6" w:rsidR="00ED4976" w:rsidRPr="001C0E1E" w:rsidRDefault="006629CF" w:rsidP="00323E72">
      <w:pPr>
        <w:spacing w:after="0" w:line="240" w:lineRule="auto"/>
        <w:ind w:left="2268" w:right="-170"/>
        <w:jc w:val="both"/>
        <w:rPr>
          <w:rFonts w:eastAsia="Arial" w:cstheme="minorHAnsi"/>
          <w:color w:val="000000"/>
          <w:sz w:val="19"/>
          <w:szCs w:val="19"/>
          <w:lang w:val="en-US"/>
        </w:rPr>
      </w:pPr>
      <w:r w:rsidRPr="001C0E1E">
        <w:rPr>
          <w:rFonts w:eastAsia="Arial" w:cstheme="minorHAnsi"/>
          <w:b/>
          <w:bCs/>
          <w:color w:val="000000"/>
          <w:sz w:val="19"/>
          <w:szCs w:val="19"/>
          <w:lang w:val="en-US"/>
        </w:rPr>
        <w:t>Keyword</w:t>
      </w:r>
      <w:r w:rsidR="0030216B">
        <w:rPr>
          <w:rFonts w:eastAsia="Arial" w:cstheme="minorHAnsi"/>
          <w:b/>
          <w:bCs/>
          <w:color w:val="000000"/>
          <w:sz w:val="19"/>
          <w:szCs w:val="19"/>
          <w:lang w:val="en-US"/>
        </w:rPr>
        <w:t>s</w:t>
      </w:r>
      <w:r w:rsidR="00ED4976" w:rsidRPr="001C0E1E">
        <w:rPr>
          <w:rFonts w:eastAsia="Arial" w:cstheme="minorHAnsi"/>
          <w:color w:val="000000"/>
          <w:sz w:val="19"/>
          <w:szCs w:val="19"/>
          <w:lang w:val="en-US"/>
        </w:rPr>
        <w:t xml:space="preserve">: </w:t>
      </w:r>
      <w:r w:rsidRPr="001C0E1E">
        <w:rPr>
          <w:rFonts w:eastAsia="Arial" w:cstheme="minorHAnsi"/>
          <w:color w:val="000000"/>
          <w:sz w:val="19"/>
          <w:szCs w:val="19"/>
          <w:lang w:val="en-US"/>
        </w:rPr>
        <w:t>knee replacement arthroplasty; risk factors; surgical wound infection</w:t>
      </w:r>
    </w:p>
    <w:p w14:paraId="78CBDDE7" w14:textId="77777777" w:rsidR="00F91157" w:rsidRPr="001C0E1E" w:rsidRDefault="00F91157" w:rsidP="00F86AA5">
      <w:pPr>
        <w:spacing w:after="0" w:line="240" w:lineRule="auto"/>
        <w:ind w:left="2268" w:right="-170"/>
        <w:jc w:val="both"/>
        <w:rPr>
          <w:rFonts w:ascii="Calibri" w:hAnsi="Calibri" w:cs="Calibri"/>
          <w:b/>
          <w:sz w:val="19"/>
          <w:szCs w:val="19"/>
          <w:shd w:val="clear" w:color="auto" w:fill="FFFFFF"/>
          <w:lang w:val="en"/>
        </w:rPr>
      </w:pPr>
    </w:p>
    <w:p w14:paraId="36BBAA9D" w14:textId="7C08CDCB" w:rsidR="00ED4976" w:rsidRPr="001C0E1E" w:rsidRDefault="00ED4976" w:rsidP="00900F01">
      <w:pPr>
        <w:spacing w:after="0" w:line="240" w:lineRule="auto"/>
        <w:ind w:left="2268" w:right="-170"/>
        <w:jc w:val="both"/>
        <w:rPr>
          <w:rFonts w:ascii="Calibri" w:hAnsi="Calibri" w:cs="Calibri"/>
          <w:b/>
          <w:sz w:val="19"/>
          <w:szCs w:val="19"/>
          <w:shd w:val="clear" w:color="auto" w:fill="FFFFFF"/>
          <w:lang w:val="es-ES"/>
        </w:rPr>
      </w:pPr>
      <w:r w:rsidRPr="001C0E1E">
        <w:rPr>
          <w:rFonts w:ascii="Calibri" w:hAnsi="Calibri" w:cs="Calibri"/>
          <w:b/>
          <w:sz w:val="19"/>
          <w:szCs w:val="19"/>
          <w:shd w:val="clear" w:color="auto" w:fill="FFFFFF"/>
          <w:lang w:val="es-ES"/>
        </w:rPr>
        <w:t>RESUMEN</w:t>
      </w:r>
    </w:p>
    <w:p w14:paraId="43256479" w14:textId="270659A3" w:rsidR="00B61761" w:rsidRPr="001C0E1E" w:rsidRDefault="00DB30DE" w:rsidP="0024164E">
      <w:pPr>
        <w:spacing w:after="0" w:line="240" w:lineRule="auto"/>
        <w:ind w:left="2268" w:right="-170"/>
        <w:jc w:val="both"/>
        <w:rPr>
          <w:rFonts w:cstheme="minorHAnsi"/>
          <w:sz w:val="19"/>
          <w:szCs w:val="19"/>
        </w:rPr>
      </w:pPr>
      <w:r w:rsidRPr="001C0E1E">
        <w:rPr>
          <w:b/>
          <w:bCs/>
          <w:sz w:val="19"/>
          <w:szCs w:val="19"/>
        </w:rPr>
        <w:t>Marco Contextual</w:t>
      </w:r>
      <w:r w:rsidRPr="001C0E1E">
        <w:rPr>
          <w:sz w:val="19"/>
          <w:szCs w:val="19"/>
        </w:rPr>
        <w:t>: l</w:t>
      </w:r>
      <w:r w:rsidR="00B61761" w:rsidRPr="001C0E1E">
        <w:rPr>
          <w:sz w:val="19"/>
          <w:szCs w:val="19"/>
        </w:rPr>
        <w:t xml:space="preserve">os factores de riesgo de infección del sitio quirúrgico (ISQ) después de la Artroplastia de </w:t>
      </w:r>
      <w:r w:rsidR="00600BC0" w:rsidRPr="001C0E1E">
        <w:rPr>
          <w:sz w:val="19"/>
          <w:szCs w:val="19"/>
        </w:rPr>
        <w:t>R</w:t>
      </w:r>
      <w:r w:rsidR="00B61761" w:rsidRPr="001C0E1E">
        <w:rPr>
          <w:sz w:val="19"/>
          <w:szCs w:val="19"/>
        </w:rPr>
        <w:t xml:space="preserve">eemplazo de </w:t>
      </w:r>
      <w:r w:rsidR="00600BC0" w:rsidRPr="001C0E1E">
        <w:rPr>
          <w:sz w:val="19"/>
          <w:szCs w:val="19"/>
        </w:rPr>
        <w:t>R</w:t>
      </w:r>
      <w:r w:rsidR="00B61761" w:rsidRPr="001C0E1E">
        <w:rPr>
          <w:sz w:val="19"/>
          <w:szCs w:val="19"/>
        </w:rPr>
        <w:t xml:space="preserve">odilla tienen un impacto en la seguridad y calidad de vida de la persona en la situación perioperatoria y en el aumento de costos para las unidades de salud. Parece que este tema se estudia principalmente junto con los factores de riesgo de ISQ después de una artroplastia de cadera. Es fundamental abordarlo de forma aislada, para crear herramientas de identificación de riesgos que permitan identificar a las personas más vulnerables a infecciones del sitio quirúrgico en esta cirugía. </w:t>
      </w:r>
      <w:r w:rsidRPr="001C0E1E">
        <w:rPr>
          <w:b/>
          <w:bCs/>
          <w:sz w:val="19"/>
          <w:szCs w:val="19"/>
        </w:rPr>
        <w:t>Objetivos</w:t>
      </w:r>
      <w:r w:rsidR="00B61761" w:rsidRPr="001C0E1E">
        <w:rPr>
          <w:sz w:val="19"/>
          <w:szCs w:val="19"/>
        </w:rPr>
        <w:t xml:space="preserve">: Mapear la evidencia sobre los factores de riesgo de ISQ en personas sometidas a </w:t>
      </w:r>
      <w:r w:rsidR="00600BC0" w:rsidRPr="001C0E1E">
        <w:rPr>
          <w:sz w:val="19"/>
          <w:szCs w:val="19"/>
        </w:rPr>
        <w:t>A</w:t>
      </w:r>
      <w:r w:rsidR="00B61761" w:rsidRPr="001C0E1E">
        <w:rPr>
          <w:sz w:val="19"/>
          <w:szCs w:val="19"/>
        </w:rPr>
        <w:t xml:space="preserve">rtroplastia de </w:t>
      </w:r>
      <w:r w:rsidR="00600BC0" w:rsidRPr="001C0E1E">
        <w:rPr>
          <w:sz w:val="19"/>
          <w:szCs w:val="19"/>
        </w:rPr>
        <w:t>R</w:t>
      </w:r>
      <w:r w:rsidR="00B61761" w:rsidRPr="001C0E1E">
        <w:rPr>
          <w:sz w:val="19"/>
          <w:szCs w:val="19"/>
        </w:rPr>
        <w:t xml:space="preserve">eemplazo de </w:t>
      </w:r>
      <w:r w:rsidR="00600BC0" w:rsidRPr="001C0E1E">
        <w:rPr>
          <w:sz w:val="19"/>
          <w:szCs w:val="19"/>
        </w:rPr>
        <w:t>R</w:t>
      </w:r>
      <w:r w:rsidR="00B61761" w:rsidRPr="001C0E1E">
        <w:rPr>
          <w:sz w:val="19"/>
          <w:szCs w:val="19"/>
        </w:rPr>
        <w:t xml:space="preserve">odilla. </w:t>
      </w:r>
      <w:r w:rsidRPr="001C0E1E">
        <w:rPr>
          <w:b/>
          <w:bCs/>
          <w:sz w:val="19"/>
          <w:szCs w:val="19"/>
        </w:rPr>
        <w:t>Metodología</w:t>
      </w:r>
      <w:r w:rsidR="00B61761" w:rsidRPr="001C0E1E">
        <w:rPr>
          <w:sz w:val="19"/>
          <w:szCs w:val="19"/>
        </w:rPr>
        <w:t xml:space="preserve">: Revisión del alcance guiada por la metodología del Instituto Joanna Briggs. Límite de tiempo aplicado de 2018 a 2024, con base en una revisión identificada sobre este tema. </w:t>
      </w:r>
      <w:r w:rsidRPr="001C0E1E">
        <w:rPr>
          <w:b/>
          <w:bCs/>
          <w:sz w:val="19"/>
          <w:szCs w:val="19"/>
        </w:rPr>
        <w:t>Resultados</w:t>
      </w:r>
      <w:r w:rsidR="00B61761" w:rsidRPr="001C0E1E">
        <w:rPr>
          <w:sz w:val="19"/>
          <w:szCs w:val="19"/>
        </w:rPr>
        <w:t xml:space="preserve">: Se incluyeron 27 artículos en la revisión y se identificaron factores de riesgo modificables y no modificables en el período perioperatorio. Las habilidades avanzadas de la enfermera especialista para minimizar/eliminar el riesgo de </w:t>
      </w:r>
      <w:r w:rsidR="00600BC0" w:rsidRPr="001C0E1E">
        <w:rPr>
          <w:sz w:val="19"/>
          <w:szCs w:val="19"/>
        </w:rPr>
        <w:t>ISQ</w:t>
      </w:r>
      <w:r w:rsidR="00B61761" w:rsidRPr="001C0E1E">
        <w:rPr>
          <w:sz w:val="19"/>
          <w:szCs w:val="19"/>
        </w:rPr>
        <w:t xml:space="preserve"> son fundamentales, especialmente en factores de riesgo modificables. </w:t>
      </w:r>
      <w:r w:rsidRPr="001C0E1E">
        <w:rPr>
          <w:b/>
          <w:bCs/>
          <w:sz w:val="19"/>
          <w:szCs w:val="19"/>
        </w:rPr>
        <w:t>Conclusión</w:t>
      </w:r>
      <w:r w:rsidR="00B61761" w:rsidRPr="001C0E1E">
        <w:rPr>
          <w:sz w:val="19"/>
          <w:szCs w:val="19"/>
        </w:rPr>
        <w:t>: Los factores de riesgo están presentes en el período perioperatorio, siendo algunos intrínsecos a la propia persona y otros derivados de la práctica de los propios profesionales de la salud, poniendo en riesgo la seguridad quirúrgica.</w:t>
      </w:r>
    </w:p>
    <w:p w14:paraId="39D0396D" w14:textId="438A0E29" w:rsidR="00000E04" w:rsidRPr="001C0E1E" w:rsidRDefault="00DB30DE" w:rsidP="0024164E">
      <w:pPr>
        <w:spacing w:after="0" w:line="240" w:lineRule="auto"/>
        <w:ind w:left="2268" w:right="-170"/>
        <w:jc w:val="both"/>
        <w:rPr>
          <w:rFonts w:cstheme="minorHAnsi"/>
          <w:sz w:val="19"/>
          <w:szCs w:val="19"/>
        </w:rPr>
      </w:pPr>
      <w:proofErr w:type="spellStart"/>
      <w:r w:rsidRPr="001C0E1E">
        <w:rPr>
          <w:rFonts w:cstheme="minorHAnsi"/>
          <w:b/>
          <w:bCs/>
          <w:sz w:val="19"/>
          <w:szCs w:val="19"/>
        </w:rPr>
        <w:t>Palabra</w:t>
      </w:r>
      <w:r w:rsidR="0030216B">
        <w:rPr>
          <w:rFonts w:cstheme="minorHAnsi"/>
          <w:b/>
          <w:bCs/>
          <w:sz w:val="19"/>
          <w:szCs w:val="19"/>
        </w:rPr>
        <w:t>s</w:t>
      </w:r>
      <w:proofErr w:type="spellEnd"/>
      <w:r w:rsidRPr="001C0E1E">
        <w:rPr>
          <w:rFonts w:cstheme="minorHAnsi"/>
          <w:b/>
          <w:bCs/>
          <w:sz w:val="19"/>
          <w:szCs w:val="19"/>
        </w:rPr>
        <w:t xml:space="preserve"> clave</w:t>
      </w:r>
      <w:r w:rsidR="00000E04" w:rsidRPr="001C0E1E">
        <w:rPr>
          <w:rFonts w:cstheme="minorHAnsi"/>
          <w:sz w:val="19"/>
          <w:szCs w:val="19"/>
        </w:rPr>
        <w:t xml:space="preserve">: </w:t>
      </w:r>
      <w:proofErr w:type="spellStart"/>
      <w:r w:rsidRPr="001C0E1E">
        <w:rPr>
          <w:rFonts w:cstheme="minorHAnsi"/>
          <w:sz w:val="19"/>
          <w:szCs w:val="19"/>
        </w:rPr>
        <w:t>artroplastia</w:t>
      </w:r>
      <w:proofErr w:type="spellEnd"/>
      <w:r w:rsidRPr="001C0E1E">
        <w:rPr>
          <w:rFonts w:cstheme="minorHAnsi"/>
          <w:sz w:val="19"/>
          <w:szCs w:val="19"/>
        </w:rPr>
        <w:t xml:space="preserve"> de </w:t>
      </w:r>
      <w:proofErr w:type="spellStart"/>
      <w:r w:rsidRPr="001C0E1E">
        <w:rPr>
          <w:rFonts w:cstheme="minorHAnsi"/>
          <w:sz w:val="19"/>
          <w:szCs w:val="19"/>
        </w:rPr>
        <w:t>reemplazo</w:t>
      </w:r>
      <w:proofErr w:type="spellEnd"/>
      <w:r w:rsidRPr="001C0E1E">
        <w:rPr>
          <w:rFonts w:cstheme="minorHAnsi"/>
          <w:sz w:val="19"/>
          <w:szCs w:val="19"/>
        </w:rPr>
        <w:t xml:space="preserve"> de </w:t>
      </w:r>
      <w:proofErr w:type="spellStart"/>
      <w:r w:rsidRPr="001C0E1E">
        <w:rPr>
          <w:rFonts w:cstheme="minorHAnsi"/>
          <w:sz w:val="19"/>
          <w:szCs w:val="19"/>
        </w:rPr>
        <w:t>rodilla</w:t>
      </w:r>
      <w:proofErr w:type="spellEnd"/>
      <w:r w:rsidRPr="001C0E1E">
        <w:rPr>
          <w:rFonts w:cstheme="minorHAnsi"/>
          <w:sz w:val="19"/>
          <w:szCs w:val="19"/>
        </w:rPr>
        <w:t xml:space="preserve">; </w:t>
      </w:r>
      <w:proofErr w:type="spellStart"/>
      <w:r w:rsidRPr="001C0E1E">
        <w:rPr>
          <w:rFonts w:cstheme="minorHAnsi"/>
          <w:sz w:val="19"/>
          <w:szCs w:val="19"/>
        </w:rPr>
        <w:t>factores</w:t>
      </w:r>
      <w:proofErr w:type="spellEnd"/>
      <w:r w:rsidRPr="001C0E1E">
        <w:rPr>
          <w:rFonts w:cstheme="minorHAnsi"/>
          <w:sz w:val="19"/>
          <w:szCs w:val="19"/>
        </w:rPr>
        <w:t xml:space="preserve"> de </w:t>
      </w:r>
      <w:proofErr w:type="spellStart"/>
      <w:r w:rsidRPr="001C0E1E">
        <w:rPr>
          <w:rFonts w:cstheme="minorHAnsi"/>
          <w:sz w:val="19"/>
          <w:szCs w:val="19"/>
        </w:rPr>
        <w:t>riesgo</w:t>
      </w:r>
      <w:proofErr w:type="spellEnd"/>
      <w:r w:rsidRPr="001C0E1E">
        <w:rPr>
          <w:rFonts w:cstheme="minorHAnsi"/>
          <w:sz w:val="19"/>
          <w:szCs w:val="19"/>
        </w:rPr>
        <w:t xml:space="preserve">; </w:t>
      </w:r>
      <w:proofErr w:type="spellStart"/>
      <w:r w:rsidRPr="001C0E1E">
        <w:rPr>
          <w:rFonts w:cstheme="minorHAnsi"/>
          <w:sz w:val="19"/>
          <w:szCs w:val="19"/>
        </w:rPr>
        <w:t>infección</w:t>
      </w:r>
      <w:proofErr w:type="spellEnd"/>
      <w:r w:rsidRPr="001C0E1E">
        <w:rPr>
          <w:rFonts w:cstheme="minorHAnsi"/>
          <w:sz w:val="19"/>
          <w:szCs w:val="19"/>
        </w:rPr>
        <w:t xml:space="preserve"> de la </w:t>
      </w:r>
      <w:proofErr w:type="spellStart"/>
      <w:r w:rsidRPr="001C0E1E">
        <w:rPr>
          <w:rFonts w:cstheme="minorHAnsi"/>
          <w:sz w:val="19"/>
          <w:szCs w:val="19"/>
        </w:rPr>
        <w:t>herida</w:t>
      </w:r>
      <w:proofErr w:type="spellEnd"/>
      <w:r w:rsidRPr="001C0E1E">
        <w:rPr>
          <w:rFonts w:cstheme="minorHAnsi"/>
          <w:sz w:val="19"/>
          <w:szCs w:val="19"/>
        </w:rPr>
        <w:t xml:space="preserve"> </w:t>
      </w:r>
      <w:proofErr w:type="spellStart"/>
      <w:r w:rsidRPr="001C0E1E">
        <w:rPr>
          <w:rFonts w:cstheme="minorHAnsi"/>
          <w:sz w:val="19"/>
          <w:szCs w:val="19"/>
        </w:rPr>
        <w:t>quirúrgica</w:t>
      </w:r>
      <w:proofErr w:type="spellEnd"/>
    </w:p>
    <w:p w14:paraId="17763829" w14:textId="77777777" w:rsidR="00650AF9" w:rsidRDefault="00650AF9" w:rsidP="00382212">
      <w:pPr>
        <w:spacing w:after="0" w:line="360" w:lineRule="auto"/>
        <w:jc w:val="both"/>
        <w:rPr>
          <w:rFonts w:cstheme="minorHAnsi"/>
        </w:rPr>
        <w:sectPr w:rsidR="00650AF9" w:rsidSect="00DC6289">
          <w:headerReference w:type="default" r:id="rId14"/>
          <w:footerReference w:type="default" r:id="rId15"/>
          <w:headerReference w:type="first" r:id="rId16"/>
          <w:footerReference w:type="first" r:id="rId17"/>
          <w:pgSz w:w="11906" w:h="16838"/>
          <w:pgMar w:top="1135" w:right="1080" w:bottom="568" w:left="1080" w:header="709" w:footer="709" w:gutter="0"/>
          <w:cols w:space="708"/>
          <w:titlePg/>
          <w:docGrid w:linePitch="360"/>
        </w:sectPr>
      </w:pPr>
    </w:p>
    <w:p w14:paraId="2E709C98" w14:textId="1234313D" w:rsidR="00BD683D" w:rsidRPr="00650AF9" w:rsidRDefault="00BD683D" w:rsidP="00650AF9">
      <w:pPr>
        <w:spacing w:after="120" w:line="360" w:lineRule="auto"/>
        <w:ind w:left="-170" w:right="-170"/>
        <w:jc w:val="both"/>
        <w:rPr>
          <w:rFonts w:cstheme="minorHAnsi"/>
          <w:b/>
          <w:bCs/>
        </w:rPr>
      </w:pPr>
      <w:r w:rsidRPr="00650AF9">
        <w:rPr>
          <w:rFonts w:cstheme="minorHAnsi"/>
          <w:b/>
          <w:bCs/>
        </w:rPr>
        <w:lastRenderedPageBreak/>
        <w:t>INTRODUÇÃO</w:t>
      </w:r>
    </w:p>
    <w:p w14:paraId="3D2EED34" w14:textId="0812F6AE" w:rsidR="00685AEB" w:rsidRPr="00650AF9" w:rsidRDefault="00685AEB" w:rsidP="00650AF9">
      <w:pPr>
        <w:spacing w:after="0" w:line="360" w:lineRule="auto"/>
        <w:ind w:left="-170" w:right="-170"/>
        <w:jc w:val="both"/>
        <w:rPr>
          <w:rFonts w:cstheme="minorHAnsi"/>
        </w:rPr>
      </w:pPr>
      <w:r w:rsidRPr="00650AF9">
        <w:rPr>
          <w:rFonts w:cstheme="minorHAnsi"/>
        </w:rPr>
        <w:t xml:space="preserve">Em Portugal verifica-se a tendência </w:t>
      </w:r>
      <w:r w:rsidR="00E84706" w:rsidRPr="00650AF9">
        <w:rPr>
          <w:rFonts w:cstheme="minorHAnsi"/>
        </w:rPr>
        <w:t>crescente</w:t>
      </w:r>
      <w:r w:rsidR="0055744F" w:rsidRPr="00650AF9">
        <w:rPr>
          <w:rFonts w:cstheme="minorHAnsi"/>
        </w:rPr>
        <w:t xml:space="preserve"> do </w:t>
      </w:r>
      <w:r w:rsidRPr="00650AF9">
        <w:rPr>
          <w:rFonts w:cstheme="minorHAnsi"/>
        </w:rPr>
        <w:t xml:space="preserve">envelhecimento demográfico em resultado da baixa natalidade e do aumento da longevidade, e que será provavelmente muito significativo nas próximas décadas </w:t>
      </w:r>
      <w:r w:rsidR="00305F6E" w:rsidRPr="00650AF9">
        <w:rPr>
          <w:rFonts w:cstheme="minorHAnsi"/>
          <w:noProof/>
        </w:rPr>
        <w:t>(Instituto Nacional de Estatística, 2023)</w:t>
      </w:r>
      <w:r w:rsidRPr="00650AF9">
        <w:rPr>
          <w:rFonts w:cstheme="minorHAnsi"/>
        </w:rPr>
        <w:t>.</w:t>
      </w:r>
    </w:p>
    <w:p w14:paraId="5E4C7E2E" w14:textId="01FE21BF" w:rsidR="00685AEB" w:rsidRPr="00650AF9" w:rsidRDefault="00685AEB" w:rsidP="00650AF9">
      <w:pPr>
        <w:spacing w:after="0" w:line="360" w:lineRule="auto"/>
        <w:ind w:left="-170" w:right="-170"/>
        <w:jc w:val="both"/>
        <w:rPr>
          <w:rFonts w:cstheme="minorHAnsi"/>
        </w:rPr>
      </w:pPr>
      <w:r w:rsidRPr="00650AF9">
        <w:rPr>
          <w:rFonts w:cstheme="minorHAnsi"/>
        </w:rPr>
        <w:t xml:space="preserve">O envelhecimento é acompanhado pelo aparecimento de comorbilidades agudas e crónicas, </w:t>
      </w:r>
      <w:r w:rsidR="00114E37" w:rsidRPr="00650AF9">
        <w:rPr>
          <w:rFonts w:cstheme="minorHAnsi"/>
        </w:rPr>
        <w:t>como a osteoartrite</w:t>
      </w:r>
      <w:r w:rsidRPr="00650AF9">
        <w:rPr>
          <w:rFonts w:cstheme="minorHAnsi"/>
        </w:rPr>
        <w:t xml:space="preserve"> no joelho, caraterizando-se pela sua cronicidade, acompanhada por dor, dependência e diminuição da qualidade de vida</w:t>
      </w:r>
      <w:r w:rsidR="0055744F" w:rsidRPr="00650AF9">
        <w:rPr>
          <w:rFonts w:cstheme="minorHAnsi"/>
        </w:rPr>
        <w:t xml:space="preserve">. </w:t>
      </w:r>
      <w:r w:rsidRPr="00650AF9">
        <w:rPr>
          <w:rFonts w:cstheme="minorHAnsi"/>
        </w:rPr>
        <w:t xml:space="preserve">Em 2019, 528 milhões de pessoas viviam com esta </w:t>
      </w:r>
      <w:r w:rsidR="00E84706" w:rsidRPr="00650AF9">
        <w:rPr>
          <w:rFonts w:cstheme="minorHAnsi"/>
        </w:rPr>
        <w:t>patologia</w:t>
      </w:r>
      <w:r w:rsidRPr="00650AF9">
        <w:rPr>
          <w:rFonts w:cstheme="minorHAnsi"/>
        </w:rPr>
        <w:t>, tendo-se registado um aumento de 113% desde 1990 a nível mundial, apresentando níveis de gravidade de moderados a graves</w:t>
      </w:r>
      <w:r w:rsidR="0055744F" w:rsidRPr="00650AF9">
        <w:rPr>
          <w:rFonts w:cstheme="minorHAnsi"/>
        </w:rPr>
        <w:t xml:space="preserve"> </w:t>
      </w:r>
      <w:r w:rsidR="0055744F" w:rsidRPr="00650AF9">
        <w:rPr>
          <w:rFonts w:cstheme="minorHAnsi"/>
          <w:noProof/>
        </w:rPr>
        <w:t>(World Health Organization</w:t>
      </w:r>
      <w:r w:rsidR="0076612A" w:rsidRPr="00650AF9">
        <w:rPr>
          <w:rFonts w:cstheme="minorHAnsi"/>
          <w:noProof/>
        </w:rPr>
        <w:t xml:space="preserve"> </w:t>
      </w:r>
      <w:r w:rsidR="00BB3D2D" w:rsidRPr="00650AF9">
        <w:rPr>
          <w:rFonts w:cstheme="minorHAnsi"/>
          <w:noProof/>
        </w:rPr>
        <w:t>[</w:t>
      </w:r>
      <w:r w:rsidR="0076612A" w:rsidRPr="00650AF9">
        <w:rPr>
          <w:rFonts w:cstheme="minorHAnsi"/>
          <w:noProof/>
        </w:rPr>
        <w:t>WHO</w:t>
      </w:r>
      <w:r w:rsidR="00BB3D2D" w:rsidRPr="00650AF9">
        <w:rPr>
          <w:rFonts w:cstheme="minorHAnsi"/>
          <w:noProof/>
        </w:rPr>
        <w:t>]</w:t>
      </w:r>
      <w:r w:rsidR="0055744F" w:rsidRPr="00650AF9">
        <w:rPr>
          <w:rFonts w:cstheme="minorHAnsi"/>
          <w:noProof/>
        </w:rPr>
        <w:t>, 2023)</w:t>
      </w:r>
      <w:r w:rsidR="0055744F" w:rsidRPr="00650AF9">
        <w:rPr>
          <w:rFonts w:cstheme="minorHAnsi"/>
        </w:rPr>
        <w:t>.</w:t>
      </w:r>
    </w:p>
    <w:p w14:paraId="3A92E197" w14:textId="14B33785" w:rsidR="0055744F" w:rsidRPr="00650AF9" w:rsidRDefault="0055744F" w:rsidP="00650AF9">
      <w:pPr>
        <w:spacing w:after="0" w:line="360" w:lineRule="auto"/>
        <w:ind w:left="-170" w:right="-170"/>
        <w:jc w:val="both"/>
        <w:rPr>
          <w:rFonts w:cstheme="minorHAnsi"/>
        </w:rPr>
      </w:pPr>
      <w:r w:rsidRPr="00650AF9">
        <w:rPr>
          <w:rFonts w:cstheme="minorHAnsi"/>
        </w:rPr>
        <w:t xml:space="preserve">Já em Portugal, o </w:t>
      </w:r>
      <w:proofErr w:type="spellStart"/>
      <w:r w:rsidRPr="00650AF9">
        <w:rPr>
          <w:rFonts w:cstheme="minorHAnsi"/>
        </w:rPr>
        <w:t>EpiReumaPt</w:t>
      </w:r>
      <w:proofErr w:type="spellEnd"/>
      <w:r w:rsidRPr="00650AF9">
        <w:rPr>
          <w:rFonts w:cstheme="minorHAnsi"/>
        </w:rPr>
        <w:t xml:space="preserve"> (Estudo Epidemiológico das Doenças Reumáticas em Portugal), referiu que no ano de 2015, as doenças reumáticas e musculoesqueléticas eram as doenças mais comuns entre a população, encontrando-se a osteoartrose a nível do joelho na terceira posição de prevalência</w:t>
      </w:r>
      <w:r w:rsidR="008F693F" w:rsidRPr="00650AF9">
        <w:rPr>
          <w:rFonts w:cstheme="minorHAnsi"/>
        </w:rPr>
        <w:t xml:space="preserve"> </w:t>
      </w:r>
      <w:r w:rsidRPr="00650AF9">
        <w:rPr>
          <w:rFonts w:cstheme="minorHAnsi"/>
          <w:noProof/>
        </w:rPr>
        <w:t>(Branco et al., 2016)</w:t>
      </w:r>
      <w:r w:rsidRPr="00650AF9">
        <w:rPr>
          <w:rFonts w:cstheme="minorHAnsi"/>
        </w:rPr>
        <w:t>.</w:t>
      </w:r>
    </w:p>
    <w:p w14:paraId="3A65B79E" w14:textId="4C04FFAC" w:rsidR="008F693F" w:rsidRPr="00650AF9" w:rsidRDefault="008F693F" w:rsidP="00650AF9">
      <w:pPr>
        <w:spacing w:after="0" w:line="360" w:lineRule="auto"/>
        <w:ind w:left="-170" w:right="-170"/>
        <w:jc w:val="both"/>
        <w:rPr>
          <w:rFonts w:cstheme="minorHAnsi"/>
        </w:rPr>
      </w:pPr>
      <w:r w:rsidRPr="00650AF9">
        <w:rPr>
          <w:rFonts w:cstheme="minorHAnsi"/>
        </w:rPr>
        <w:t xml:space="preserve">A dor crónica no joelho e a perda da função motora </w:t>
      </w:r>
      <w:r w:rsidR="007927C9" w:rsidRPr="00650AF9">
        <w:rPr>
          <w:rFonts w:cstheme="minorHAnsi"/>
        </w:rPr>
        <w:t>dão origem a</w:t>
      </w:r>
      <w:r w:rsidRPr="00650AF9">
        <w:rPr>
          <w:rFonts w:cstheme="minorHAnsi"/>
        </w:rPr>
        <w:t xml:space="preserve"> um ciclo vicioso </w:t>
      </w:r>
      <w:r w:rsidR="007927C9" w:rsidRPr="00650AF9">
        <w:rPr>
          <w:rFonts w:cstheme="minorHAnsi"/>
        </w:rPr>
        <w:t>com um impacto negativo</w:t>
      </w:r>
      <w:r w:rsidRPr="00650AF9">
        <w:rPr>
          <w:rFonts w:cstheme="minorHAnsi"/>
        </w:rPr>
        <w:t xml:space="preserve"> </w:t>
      </w:r>
      <w:r w:rsidR="007927C9" w:rsidRPr="00650AF9">
        <w:rPr>
          <w:rFonts w:cstheme="minorHAnsi"/>
        </w:rPr>
        <w:t>nas atividades de vida diária da pessoa</w:t>
      </w:r>
      <w:r w:rsidRPr="00650AF9">
        <w:rPr>
          <w:rFonts w:cstheme="minorHAnsi"/>
        </w:rPr>
        <w:t xml:space="preserve">, </w:t>
      </w:r>
      <w:r w:rsidR="007927C9" w:rsidRPr="00650AF9">
        <w:rPr>
          <w:rFonts w:cstheme="minorHAnsi"/>
        </w:rPr>
        <w:t>causando</w:t>
      </w:r>
      <w:r w:rsidRPr="00650AF9">
        <w:rPr>
          <w:rFonts w:cstheme="minorHAnsi"/>
        </w:rPr>
        <w:t xml:space="preserve"> uma </w:t>
      </w:r>
      <w:r w:rsidR="007927C9" w:rsidRPr="00650AF9">
        <w:rPr>
          <w:rFonts w:cstheme="minorHAnsi"/>
        </w:rPr>
        <w:t xml:space="preserve">considerável </w:t>
      </w:r>
      <w:r w:rsidRPr="00650AF9">
        <w:rPr>
          <w:rStyle w:val="Forte"/>
          <w:rFonts w:cstheme="minorHAnsi"/>
          <w:b w:val="0"/>
          <w:bCs w:val="0"/>
        </w:rPr>
        <w:t>redução significativa da qualidade de vida</w:t>
      </w:r>
      <w:r w:rsidR="007927C9" w:rsidRPr="00650AF9">
        <w:rPr>
          <w:rFonts w:cstheme="minorHAnsi"/>
        </w:rPr>
        <w:t xml:space="preserve"> </w:t>
      </w:r>
      <w:r w:rsidR="007927C9" w:rsidRPr="00650AF9">
        <w:rPr>
          <w:rFonts w:cstheme="minorHAnsi"/>
          <w:noProof/>
        </w:rPr>
        <w:t>(WHO, 2023)</w:t>
      </w:r>
      <w:r w:rsidR="007927C9" w:rsidRPr="00650AF9">
        <w:rPr>
          <w:rFonts w:cstheme="minorHAnsi"/>
        </w:rPr>
        <w:t>.</w:t>
      </w:r>
    </w:p>
    <w:p w14:paraId="1B64E145" w14:textId="72828F5B" w:rsidR="0055744F" w:rsidRPr="00650AF9" w:rsidRDefault="0055744F" w:rsidP="00650AF9">
      <w:pPr>
        <w:spacing w:after="0" w:line="360" w:lineRule="auto"/>
        <w:ind w:left="-170" w:right="-170"/>
        <w:jc w:val="both"/>
        <w:rPr>
          <w:rFonts w:cstheme="minorHAnsi"/>
        </w:rPr>
      </w:pPr>
      <w:r w:rsidRPr="00650AF9">
        <w:rPr>
          <w:rFonts w:cstheme="minorHAnsi"/>
        </w:rPr>
        <w:t xml:space="preserve">A Artroplastia Total do Joelho </w:t>
      </w:r>
      <w:r w:rsidR="00265652" w:rsidRPr="00650AF9">
        <w:rPr>
          <w:rFonts w:cstheme="minorHAnsi"/>
        </w:rPr>
        <w:t xml:space="preserve">(ATJ) </w:t>
      </w:r>
      <w:r w:rsidRPr="00650AF9">
        <w:rPr>
          <w:rFonts w:cstheme="minorHAnsi"/>
        </w:rPr>
        <w:t xml:space="preserve">é uma intervenção cirúrgica </w:t>
      </w:r>
      <w:r w:rsidR="00E84706" w:rsidRPr="00650AF9">
        <w:rPr>
          <w:rFonts w:cstheme="minorHAnsi"/>
        </w:rPr>
        <w:t>realizada</w:t>
      </w:r>
      <w:r w:rsidRPr="00650AF9">
        <w:rPr>
          <w:rFonts w:cstheme="minorHAnsi"/>
        </w:rPr>
        <w:t xml:space="preserve"> com o intuito de reduzir a dor, corrigir deformidades e restaurar uma amplitude de movimento funcional, </w:t>
      </w:r>
      <w:r w:rsidR="007927C9" w:rsidRPr="00650AF9">
        <w:rPr>
          <w:rFonts w:cstheme="minorHAnsi"/>
        </w:rPr>
        <w:t>preservando</w:t>
      </w:r>
      <w:r w:rsidRPr="00650AF9">
        <w:rPr>
          <w:rFonts w:cstheme="minorHAnsi"/>
        </w:rPr>
        <w:t xml:space="preserve"> a estabilidade e a funcionalidade da articulação, permitindo a realização das atividades diárias </w:t>
      </w:r>
      <w:r w:rsidRPr="00650AF9">
        <w:rPr>
          <w:rFonts w:cstheme="minorHAnsi"/>
          <w:noProof/>
        </w:rPr>
        <w:t>(Bhave &amp; Baker, 2015)</w:t>
      </w:r>
      <w:r w:rsidRPr="00650AF9">
        <w:rPr>
          <w:rFonts w:cstheme="minorHAnsi"/>
        </w:rPr>
        <w:t>.</w:t>
      </w:r>
    </w:p>
    <w:p w14:paraId="1C1FD63D" w14:textId="750D349E" w:rsidR="006A3788" w:rsidRPr="00650AF9" w:rsidRDefault="006A3788" w:rsidP="00650AF9">
      <w:pPr>
        <w:spacing w:after="0" w:line="360" w:lineRule="auto"/>
        <w:ind w:left="-170" w:right="-170"/>
        <w:jc w:val="both"/>
        <w:rPr>
          <w:rFonts w:cstheme="minorHAnsi"/>
        </w:rPr>
      </w:pPr>
      <w:r w:rsidRPr="00650AF9">
        <w:rPr>
          <w:rFonts w:cstheme="minorHAnsi"/>
        </w:rPr>
        <w:t>No entanto, as intervenções cirúrgicas estão associadas ao risco de infeções associadas aos cuidados de saúde (IACS), sendo a infeção do local cirúrgico (ILC) a mais comum. A incidência de ILC continua a ser uma preocupação de saúde pública devido ao seu impacto na morbilidade, mortalidade e custos hospitalares (</w:t>
      </w:r>
      <w:proofErr w:type="spellStart"/>
      <w:r w:rsidR="007927C9" w:rsidRPr="00650AF9">
        <w:rPr>
          <w:rFonts w:cstheme="minorHAnsi"/>
        </w:rPr>
        <w:t>European</w:t>
      </w:r>
      <w:proofErr w:type="spellEnd"/>
      <w:r w:rsidR="007927C9" w:rsidRPr="00650AF9">
        <w:rPr>
          <w:rFonts w:cstheme="minorHAnsi"/>
        </w:rPr>
        <w:t xml:space="preserve"> Centre for </w:t>
      </w:r>
      <w:proofErr w:type="spellStart"/>
      <w:r w:rsidR="007927C9" w:rsidRPr="00650AF9">
        <w:rPr>
          <w:rFonts w:cstheme="minorHAnsi"/>
        </w:rPr>
        <w:t>Disease</w:t>
      </w:r>
      <w:proofErr w:type="spellEnd"/>
      <w:r w:rsidR="007927C9" w:rsidRPr="00650AF9">
        <w:rPr>
          <w:rFonts w:cstheme="minorHAnsi"/>
        </w:rPr>
        <w:t xml:space="preserve"> </w:t>
      </w:r>
      <w:proofErr w:type="spellStart"/>
      <w:r w:rsidR="007927C9" w:rsidRPr="00650AF9">
        <w:rPr>
          <w:rFonts w:cstheme="minorHAnsi"/>
        </w:rPr>
        <w:t>Prevention</w:t>
      </w:r>
      <w:proofErr w:type="spellEnd"/>
      <w:r w:rsidR="007927C9" w:rsidRPr="00650AF9">
        <w:rPr>
          <w:rFonts w:cstheme="minorHAnsi"/>
        </w:rPr>
        <w:t xml:space="preserve"> </w:t>
      </w:r>
      <w:proofErr w:type="spellStart"/>
      <w:r w:rsidR="007927C9" w:rsidRPr="00650AF9">
        <w:rPr>
          <w:rFonts w:cstheme="minorHAnsi"/>
        </w:rPr>
        <w:t>and</w:t>
      </w:r>
      <w:proofErr w:type="spellEnd"/>
      <w:r w:rsidR="007927C9" w:rsidRPr="00650AF9">
        <w:rPr>
          <w:rFonts w:cstheme="minorHAnsi"/>
        </w:rPr>
        <w:t xml:space="preserve"> </w:t>
      </w:r>
      <w:proofErr w:type="spellStart"/>
      <w:r w:rsidR="007927C9" w:rsidRPr="00650AF9">
        <w:rPr>
          <w:rFonts w:cstheme="minorHAnsi"/>
        </w:rPr>
        <w:t>Control</w:t>
      </w:r>
      <w:proofErr w:type="spellEnd"/>
      <w:r w:rsidR="007927C9" w:rsidRPr="00650AF9">
        <w:rPr>
          <w:rFonts w:cstheme="minorHAnsi"/>
        </w:rPr>
        <w:t xml:space="preserve"> </w:t>
      </w:r>
      <w:r w:rsidR="009258BF" w:rsidRPr="00650AF9">
        <w:rPr>
          <w:rFonts w:cstheme="minorHAnsi"/>
        </w:rPr>
        <w:t>[</w:t>
      </w:r>
      <w:r w:rsidR="00BE5976" w:rsidRPr="00650AF9">
        <w:rPr>
          <w:rFonts w:cstheme="minorHAnsi"/>
        </w:rPr>
        <w:t>ECDC</w:t>
      </w:r>
      <w:r w:rsidR="009258BF" w:rsidRPr="00650AF9">
        <w:rPr>
          <w:rFonts w:cstheme="minorHAnsi"/>
        </w:rPr>
        <w:t>]</w:t>
      </w:r>
      <w:r w:rsidRPr="00650AF9">
        <w:rPr>
          <w:rFonts w:cstheme="minorHAnsi"/>
        </w:rPr>
        <w:t>, 2019).</w:t>
      </w:r>
    </w:p>
    <w:p w14:paraId="157B4B56" w14:textId="487FE603" w:rsidR="00C52FB2" w:rsidRPr="00650AF9" w:rsidRDefault="006A3788" w:rsidP="00650AF9">
      <w:pPr>
        <w:pStyle w:val="NormalWeb"/>
        <w:spacing w:before="0" w:beforeAutospacing="0" w:after="0" w:afterAutospacing="0" w:line="360" w:lineRule="auto"/>
        <w:ind w:left="-170" w:right="-170"/>
        <w:jc w:val="both"/>
        <w:rPr>
          <w:rFonts w:asciiTheme="minorHAnsi" w:hAnsiTheme="minorHAnsi" w:cstheme="minorHAnsi"/>
          <w:sz w:val="22"/>
          <w:szCs w:val="22"/>
        </w:rPr>
      </w:pPr>
      <w:r w:rsidRPr="00650AF9">
        <w:rPr>
          <w:rFonts w:asciiTheme="minorHAnsi" w:hAnsiTheme="minorHAnsi" w:cstheme="minorHAnsi"/>
          <w:sz w:val="22"/>
          <w:szCs w:val="22"/>
        </w:rPr>
        <w:t xml:space="preserve">A ILC, de acordo com a </w:t>
      </w:r>
      <w:r w:rsidR="007927C9" w:rsidRPr="00650AF9">
        <w:rPr>
          <w:rFonts w:asciiTheme="minorHAnsi" w:hAnsiTheme="minorHAnsi" w:cstheme="minorHAnsi"/>
          <w:sz w:val="22"/>
          <w:szCs w:val="22"/>
        </w:rPr>
        <w:t>mesma fonte</w:t>
      </w:r>
      <w:r w:rsidRPr="00650AF9">
        <w:rPr>
          <w:rFonts w:asciiTheme="minorHAnsi" w:hAnsiTheme="minorHAnsi" w:cstheme="minorHAnsi"/>
          <w:sz w:val="22"/>
          <w:szCs w:val="22"/>
        </w:rPr>
        <w:t xml:space="preserve">, é caracterizada por ser uma infeção que se manifesta até 30 dias após a cirurgia ou até 90 dias após a cirurgia em doentes que receberam material implantável, afetando a área superficial da incisão ou os tecidos mais profundos na região cirúrgica. </w:t>
      </w:r>
      <w:r w:rsidR="00C52FB2" w:rsidRPr="00650AF9">
        <w:rPr>
          <w:rFonts w:asciiTheme="minorHAnsi" w:hAnsiTheme="minorHAnsi" w:cstheme="minorHAnsi"/>
          <w:sz w:val="22"/>
          <w:szCs w:val="22"/>
        </w:rPr>
        <w:t xml:space="preserve">Segundo o </w:t>
      </w:r>
      <w:r w:rsidR="007927C9" w:rsidRPr="00650AF9">
        <w:rPr>
          <w:rFonts w:asciiTheme="minorHAnsi" w:hAnsiTheme="minorHAnsi" w:cstheme="minorHAnsi"/>
          <w:sz w:val="22"/>
          <w:szCs w:val="22"/>
        </w:rPr>
        <w:t xml:space="preserve">seu </w:t>
      </w:r>
      <w:r w:rsidR="00C52FB2" w:rsidRPr="00650AF9">
        <w:rPr>
          <w:rFonts w:asciiTheme="minorHAnsi" w:hAnsiTheme="minorHAnsi" w:cstheme="minorHAnsi"/>
          <w:sz w:val="22"/>
          <w:szCs w:val="22"/>
        </w:rPr>
        <w:t>relatório epidemiológico anual de 2018-2020 publicado</w:t>
      </w:r>
      <w:r w:rsidR="0076612A" w:rsidRPr="00650AF9">
        <w:rPr>
          <w:rFonts w:asciiTheme="minorHAnsi" w:hAnsiTheme="minorHAnsi" w:cstheme="minorHAnsi"/>
          <w:sz w:val="22"/>
          <w:szCs w:val="22"/>
        </w:rPr>
        <w:t xml:space="preserve"> em 2023</w:t>
      </w:r>
      <w:r w:rsidR="00C52FB2" w:rsidRPr="00650AF9">
        <w:rPr>
          <w:rFonts w:asciiTheme="minorHAnsi" w:hAnsiTheme="minorHAnsi" w:cstheme="minorHAnsi"/>
          <w:sz w:val="22"/>
          <w:szCs w:val="22"/>
        </w:rPr>
        <w:t>, dos 1</w:t>
      </w:r>
      <w:r w:rsidR="00C52FB2" w:rsidRPr="00650AF9">
        <w:rPr>
          <w:rFonts w:asciiTheme="minorHAnsi" w:hAnsiTheme="minorHAnsi" w:cstheme="minorHAnsi"/>
          <w:spacing w:val="-16"/>
          <w:sz w:val="22"/>
          <w:szCs w:val="22"/>
        </w:rPr>
        <w:t xml:space="preserve"> </w:t>
      </w:r>
      <w:r w:rsidR="00C52FB2" w:rsidRPr="00650AF9">
        <w:rPr>
          <w:rFonts w:asciiTheme="minorHAnsi" w:hAnsiTheme="minorHAnsi" w:cstheme="minorHAnsi"/>
          <w:sz w:val="22"/>
          <w:szCs w:val="22"/>
        </w:rPr>
        <w:t>255</w:t>
      </w:r>
      <w:r w:rsidR="00C52FB2" w:rsidRPr="00650AF9">
        <w:rPr>
          <w:rFonts w:asciiTheme="minorHAnsi" w:hAnsiTheme="minorHAnsi" w:cstheme="minorHAnsi"/>
          <w:spacing w:val="-16"/>
          <w:sz w:val="22"/>
          <w:szCs w:val="22"/>
        </w:rPr>
        <w:t xml:space="preserve"> </w:t>
      </w:r>
      <w:r w:rsidR="00C52FB2" w:rsidRPr="00650AF9">
        <w:rPr>
          <w:rFonts w:asciiTheme="minorHAnsi" w:hAnsiTheme="minorHAnsi" w:cstheme="minorHAnsi"/>
          <w:sz w:val="22"/>
          <w:szCs w:val="22"/>
        </w:rPr>
        <w:t xml:space="preserve">958 procedimentos cirúrgicos </w:t>
      </w:r>
      <w:r w:rsidR="00AE1048" w:rsidRPr="00650AF9">
        <w:rPr>
          <w:rFonts w:asciiTheme="minorHAnsi" w:hAnsiTheme="minorHAnsi" w:cstheme="minorHAnsi"/>
          <w:sz w:val="22"/>
          <w:szCs w:val="22"/>
        </w:rPr>
        <w:t xml:space="preserve">registados </w:t>
      </w:r>
      <w:r w:rsidR="0076612A" w:rsidRPr="00650AF9">
        <w:rPr>
          <w:rFonts w:asciiTheme="minorHAnsi" w:hAnsiTheme="minorHAnsi" w:cstheme="minorHAnsi"/>
          <w:sz w:val="22"/>
          <w:szCs w:val="22"/>
        </w:rPr>
        <w:t>na Europa</w:t>
      </w:r>
      <w:r w:rsidR="00AE1048" w:rsidRPr="00650AF9">
        <w:rPr>
          <w:rFonts w:asciiTheme="minorHAnsi" w:hAnsiTheme="minorHAnsi" w:cstheme="minorHAnsi"/>
          <w:sz w:val="22"/>
          <w:szCs w:val="22"/>
        </w:rPr>
        <w:t>, verificaram-se 19</w:t>
      </w:r>
      <w:r w:rsidR="00AE6D4A" w:rsidRPr="00650AF9">
        <w:rPr>
          <w:rFonts w:asciiTheme="minorHAnsi" w:hAnsiTheme="minorHAnsi" w:cstheme="minorHAnsi"/>
          <w:spacing w:val="-16"/>
          <w:sz w:val="22"/>
          <w:szCs w:val="22"/>
        </w:rPr>
        <w:t xml:space="preserve"> </w:t>
      </w:r>
      <w:r w:rsidR="00AE1048" w:rsidRPr="00650AF9">
        <w:rPr>
          <w:rFonts w:asciiTheme="minorHAnsi" w:hAnsiTheme="minorHAnsi" w:cstheme="minorHAnsi"/>
          <w:sz w:val="22"/>
          <w:szCs w:val="22"/>
        </w:rPr>
        <w:t>680 infeções do local cirúrgico, sendo 0,6% referentes a Artroplastia do Joelho</w:t>
      </w:r>
      <w:r w:rsidR="007927C9" w:rsidRPr="00650AF9">
        <w:rPr>
          <w:rFonts w:asciiTheme="minorHAnsi" w:hAnsiTheme="minorHAnsi" w:cstheme="minorHAnsi"/>
          <w:sz w:val="22"/>
          <w:szCs w:val="22"/>
        </w:rPr>
        <w:t>,</w:t>
      </w:r>
      <w:r w:rsidR="00AE1048" w:rsidRPr="00650AF9">
        <w:rPr>
          <w:rFonts w:asciiTheme="minorHAnsi" w:hAnsiTheme="minorHAnsi" w:cstheme="minorHAnsi"/>
          <w:sz w:val="22"/>
          <w:szCs w:val="22"/>
        </w:rPr>
        <w:t xml:space="preserve"> </w:t>
      </w:r>
      <w:r w:rsidR="007927C9" w:rsidRPr="00650AF9">
        <w:rPr>
          <w:rFonts w:asciiTheme="minorHAnsi" w:hAnsiTheme="minorHAnsi" w:cstheme="minorHAnsi"/>
          <w:sz w:val="22"/>
          <w:szCs w:val="22"/>
        </w:rPr>
        <w:t>destacando</w:t>
      </w:r>
      <w:r w:rsidR="00AE1048" w:rsidRPr="00650AF9">
        <w:rPr>
          <w:rFonts w:asciiTheme="minorHAnsi" w:hAnsiTheme="minorHAnsi" w:cstheme="minorHAnsi"/>
          <w:sz w:val="22"/>
          <w:szCs w:val="22"/>
        </w:rPr>
        <w:t xml:space="preserve"> </w:t>
      </w:r>
      <w:r w:rsidR="007927C9" w:rsidRPr="00650AF9">
        <w:rPr>
          <w:rFonts w:asciiTheme="minorHAnsi" w:hAnsiTheme="minorHAnsi" w:cstheme="minorHAnsi"/>
          <w:sz w:val="22"/>
          <w:szCs w:val="22"/>
        </w:rPr>
        <w:t>a</w:t>
      </w:r>
      <w:r w:rsidR="00AE1048" w:rsidRPr="00650AF9">
        <w:rPr>
          <w:rFonts w:asciiTheme="minorHAnsi" w:hAnsiTheme="minorHAnsi" w:cstheme="minorHAnsi"/>
          <w:sz w:val="22"/>
          <w:szCs w:val="22"/>
        </w:rPr>
        <w:t xml:space="preserve"> diminuição da taxa de ILC em 2020, </w:t>
      </w:r>
      <w:r w:rsidR="007927C9" w:rsidRPr="00650AF9">
        <w:rPr>
          <w:rFonts w:asciiTheme="minorHAnsi" w:hAnsiTheme="minorHAnsi" w:cstheme="minorHAnsi"/>
          <w:sz w:val="22"/>
          <w:szCs w:val="22"/>
        </w:rPr>
        <w:t>devido a</w:t>
      </w:r>
      <w:r w:rsidR="0076612A" w:rsidRPr="00650AF9">
        <w:rPr>
          <w:rFonts w:asciiTheme="minorHAnsi" w:hAnsiTheme="minorHAnsi" w:cstheme="minorHAnsi"/>
          <w:sz w:val="22"/>
          <w:szCs w:val="22"/>
        </w:rPr>
        <w:t>o</w:t>
      </w:r>
      <w:r w:rsidR="00AE1048" w:rsidRPr="00650AF9">
        <w:rPr>
          <w:rFonts w:asciiTheme="minorHAnsi" w:hAnsiTheme="minorHAnsi" w:cstheme="minorHAnsi"/>
          <w:sz w:val="22"/>
          <w:szCs w:val="22"/>
        </w:rPr>
        <w:t xml:space="preserve"> número de cirurgias reportadas </w:t>
      </w:r>
      <w:r w:rsidR="007927C9" w:rsidRPr="00650AF9">
        <w:rPr>
          <w:rFonts w:asciiTheme="minorHAnsi" w:hAnsiTheme="minorHAnsi" w:cstheme="minorHAnsi"/>
          <w:sz w:val="22"/>
          <w:szCs w:val="22"/>
        </w:rPr>
        <w:t xml:space="preserve">ter sido menor </w:t>
      </w:r>
      <w:r w:rsidR="00AE1048" w:rsidRPr="00650AF9">
        <w:rPr>
          <w:rFonts w:asciiTheme="minorHAnsi" w:hAnsiTheme="minorHAnsi" w:cstheme="minorHAnsi"/>
          <w:sz w:val="22"/>
          <w:szCs w:val="22"/>
        </w:rPr>
        <w:t>devido à epidemia de Covid-19.</w:t>
      </w:r>
    </w:p>
    <w:p w14:paraId="3C258174" w14:textId="7B15673C" w:rsidR="009743BC" w:rsidRPr="00650AF9" w:rsidRDefault="00E84706" w:rsidP="00650AF9">
      <w:pPr>
        <w:pStyle w:val="NormalWeb"/>
        <w:spacing w:before="0" w:beforeAutospacing="0" w:after="0" w:afterAutospacing="0" w:line="360" w:lineRule="auto"/>
        <w:ind w:left="-170" w:right="-170"/>
        <w:jc w:val="both"/>
        <w:rPr>
          <w:rFonts w:asciiTheme="minorHAnsi" w:hAnsiTheme="minorHAnsi" w:cstheme="minorHAnsi"/>
          <w:sz w:val="22"/>
          <w:szCs w:val="22"/>
        </w:rPr>
      </w:pPr>
      <w:r w:rsidRPr="00650AF9">
        <w:rPr>
          <w:rFonts w:asciiTheme="minorHAnsi" w:hAnsiTheme="minorHAnsi" w:cstheme="minorHAnsi"/>
          <w:sz w:val="22"/>
          <w:szCs w:val="22"/>
        </w:rPr>
        <w:t xml:space="preserve">Em Portugal, </w:t>
      </w:r>
      <w:r w:rsidR="00FF4F23" w:rsidRPr="00650AF9">
        <w:rPr>
          <w:rFonts w:asciiTheme="minorHAnsi" w:hAnsiTheme="minorHAnsi" w:cstheme="minorHAnsi"/>
          <w:sz w:val="22"/>
          <w:szCs w:val="22"/>
        </w:rPr>
        <w:t>o</w:t>
      </w:r>
      <w:r w:rsidRPr="00650AF9">
        <w:rPr>
          <w:rFonts w:asciiTheme="minorHAnsi" w:hAnsiTheme="minorHAnsi" w:cstheme="minorHAnsi"/>
          <w:sz w:val="22"/>
          <w:szCs w:val="22"/>
        </w:rPr>
        <w:t xml:space="preserve"> relatório do </w:t>
      </w:r>
      <w:r w:rsidR="0076612A" w:rsidRPr="00650AF9">
        <w:rPr>
          <w:rFonts w:asciiTheme="minorHAnsi" w:hAnsiTheme="minorHAnsi" w:cstheme="minorHAnsi"/>
          <w:sz w:val="22"/>
          <w:szCs w:val="22"/>
        </w:rPr>
        <w:t>P</w:t>
      </w:r>
      <w:r w:rsidRPr="00650AF9">
        <w:rPr>
          <w:rFonts w:asciiTheme="minorHAnsi" w:hAnsiTheme="minorHAnsi" w:cstheme="minorHAnsi"/>
          <w:sz w:val="22"/>
          <w:szCs w:val="22"/>
        </w:rPr>
        <w:t xml:space="preserve">rograma </w:t>
      </w:r>
      <w:r w:rsidR="00322DAE" w:rsidRPr="00650AF9">
        <w:rPr>
          <w:rFonts w:asciiTheme="minorHAnsi" w:hAnsiTheme="minorHAnsi" w:cstheme="minorHAnsi"/>
          <w:sz w:val="22"/>
          <w:szCs w:val="22"/>
        </w:rPr>
        <w:t>de Prevenção e Controlo de Infeções e de Resistência aos Antimicrobianos (PPCIRA)</w:t>
      </w:r>
      <w:r w:rsidRPr="00650AF9">
        <w:rPr>
          <w:rFonts w:asciiTheme="minorHAnsi" w:hAnsiTheme="minorHAnsi" w:cstheme="minorHAnsi"/>
          <w:sz w:val="22"/>
          <w:szCs w:val="22"/>
        </w:rPr>
        <w:t xml:space="preserve"> de 2021 </w:t>
      </w:r>
      <w:r w:rsidR="00005B58" w:rsidRPr="00650AF9">
        <w:rPr>
          <w:rFonts w:asciiTheme="minorHAnsi" w:hAnsiTheme="minorHAnsi" w:cstheme="minorHAnsi"/>
          <w:sz w:val="22"/>
          <w:szCs w:val="22"/>
        </w:rPr>
        <w:t>realça</w:t>
      </w:r>
      <w:r w:rsidR="009743BC" w:rsidRPr="00650AF9">
        <w:rPr>
          <w:rFonts w:asciiTheme="minorHAnsi" w:hAnsiTheme="minorHAnsi" w:cstheme="minorHAnsi"/>
          <w:sz w:val="22"/>
          <w:szCs w:val="22"/>
        </w:rPr>
        <w:t xml:space="preserve"> </w:t>
      </w:r>
      <w:r w:rsidRPr="00650AF9">
        <w:rPr>
          <w:rFonts w:asciiTheme="minorHAnsi" w:hAnsiTheme="minorHAnsi" w:cstheme="minorHAnsi"/>
          <w:sz w:val="22"/>
          <w:szCs w:val="22"/>
        </w:rPr>
        <w:t xml:space="preserve">um </w:t>
      </w:r>
      <w:r w:rsidR="009743BC" w:rsidRPr="00650AF9">
        <w:rPr>
          <w:rFonts w:asciiTheme="minorHAnsi" w:hAnsiTheme="minorHAnsi" w:cstheme="minorHAnsi"/>
          <w:sz w:val="22"/>
          <w:szCs w:val="22"/>
        </w:rPr>
        <w:t>aumento d</w:t>
      </w:r>
      <w:r w:rsidR="00005B58" w:rsidRPr="00650AF9">
        <w:rPr>
          <w:rFonts w:asciiTheme="minorHAnsi" w:hAnsiTheme="minorHAnsi" w:cstheme="minorHAnsi"/>
          <w:sz w:val="22"/>
          <w:szCs w:val="22"/>
        </w:rPr>
        <w:t>e</w:t>
      </w:r>
      <w:r w:rsidR="009743BC" w:rsidRPr="00650AF9">
        <w:rPr>
          <w:rFonts w:asciiTheme="minorHAnsi" w:hAnsiTheme="minorHAnsi" w:cstheme="minorHAnsi"/>
          <w:sz w:val="22"/>
          <w:szCs w:val="22"/>
        </w:rPr>
        <w:t xml:space="preserve"> ILC </w:t>
      </w:r>
      <w:r w:rsidRPr="00650AF9">
        <w:rPr>
          <w:rFonts w:asciiTheme="minorHAnsi" w:hAnsiTheme="minorHAnsi" w:cstheme="minorHAnsi"/>
          <w:sz w:val="22"/>
          <w:szCs w:val="22"/>
        </w:rPr>
        <w:t>na</w:t>
      </w:r>
      <w:r w:rsidR="009743BC" w:rsidRPr="00650AF9">
        <w:rPr>
          <w:rFonts w:asciiTheme="minorHAnsi" w:hAnsiTheme="minorHAnsi" w:cstheme="minorHAnsi"/>
          <w:sz w:val="22"/>
          <w:szCs w:val="22"/>
        </w:rPr>
        <w:t xml:space="preserve"> </w:t>
      </w:r>
      <w:r w:rsidR="00265652" w:rsidRPr="00650AF9">
        <w:rPr>
          <w:rFonts w:asciiTheme="minorHAnsi" w:hAnsiTheme="minorHAnsi" w:cstheme="minorHAnsi"/>
          <w:sz w:val="22"/>
          <w:szCs w:val="22"/>
        </w:rPr>
        <w:t>A</w:t>
      </w:r>
      <w:r w:rsidR="009743BC" w:rsidRPr="00650AF9">
        <w:rPr>
          <w:rFonts w:asciiTheme="minorHAnsi" w:hAnsiTheme="minorHAnsi" w:cstheme="minorHAnsi"/>
          <w:sz w:val="22"/>
          <w:szCs w:val="22"/>
        </w:rPr>
        <w:t xml:space="preserve">rtroplastia de </w:t>
      </w:r>
      <w:r w:rsidR="00265652" w:rsidRPr="00650AF9">
        <w:rPr>
          <w:rFonts w:asciiTheme="minorHAnsi" w:hAnsiTheme="minorHAnsi" w:cstheme="minorHAnsi"/>
          <w:sz w:val="22"/>
          <w:szCs w:val="22"/>
        </w:rPr>
        <w:t>J</w:t>
      </w:r>
      <w:r w:rsidR="009743BC" w:rsidRPr="00650AF9">
        <w:rPr>
          <w:rFonts w:asciiTheme="minorHAnsi" w:hAnsiTheme="minorHAnsi" w:cstheme="minorHAnsi"/>
          <w:sz w:val="22"/>
          <w:szCs w:val="22"/>
        </w:rPr>
        <w:t xml:space="preserve">oelho (em 14,3%) </w:t>
      </w:r>
      <w:r w:rsidRPr="00650AF9">
        <w:rPr>
          <w:rFonts w:asciiTheme="minorHAnsi" w:hAnsiTheme="minorHAnsi" w:cstheme="minorHAnsi"/>
          <w:sz w:val="22"/>
          <w:szCs w:val="22"/>
        </w:rPr>
        <w:t>salientando</w:t>
      </w:r>
      <w:r w:rsidR="00005B58" w:rsidRPr="00650AF9">
        <w:rPr>
          <w:rFonts w:asciiTheme="minorHAnsi" w:hAnsiTheme="minorHAnsi" w:cstheme="minorHAnsi"/>
          <w:sz w:val="22"/>
          <w:szCs w:val="22"/>
        </w:rPr>
        <w:t xml:space="preserve"> a realização e análise de </w:t>
      </w:r>
      <w:r w:rsidR="009743BC" w:rsidRPr="00650AF9">
        <w:rPr>
          <w:rFonts w:asciiTheme="minorHAnsi" w:hAnsiTheme="minorHAnsi" w:cstheme="minorHAnsi"/>
          <w:sz w:val="22"/>
          <w:szCs w:val="22"/>
        </w:rPr>
        <w:t>menos atos cirúrgicos eletivos</w:t>
      </w:r>
      <w:r w:rsidRPr="00650AF9">
        <w:rPr>
          <w:rFonts w:asciiTheme="minorHAnsi" w:hAnsiTheme="minorHAnsi" w:cstheme="minorHAnsi"/>
          <w:sz w:val="22"/>
          <w:szCs w:val="22"/>
        </w:rPr>
        <w:t xml:space="preserve"> devido à pandemia </w:t>
      </w:r>
      <w:r w:rsidR="00005B58" w:rsidRPr="00650AF9">
        <w:rPr>
          <w:rFonts w:asciiTheme="minorHAnsi" w:hAnsiTheme="minorHAnsi" w:cstheme="minorHAnsi"/>
          <w:sz w:val="22"/>
          <w:szCs w:val="22"/>
        </w:rPr>
        <w:t xml:space="preserve">em 2020 </w:t>
      </w:r>
      <w:r w:rsidRPr="00650AF9">
        <w:rPr>
          <w:rFonts w:asciiTheme="minorHAnsi" w:hAnsiTheme="minorHAnsi" w:cstheme="minorHAnsi"/>
          <w:sz w:val="22"/>
          <w:szCs w:val="22"/>
        </w:rPr>
        <w:t>(</w:t>
      </w:r>
      <w:r w:rsidR="0076612A" w:rsidRPr="00650AF9">
        <w:rPr>
          <w:rFonts w:asciiTheme="minorHAnsi" w:hAnsiTheme="minorHAnsi" w:cstheme="minorHAnsi"/>
          <w:sz w:val="22"/>
          <w:szCs w:val="22"/>
        </w:rPr>
        <w:t xml:space="preserve">Direção-Geral da Saúde </w:t>
      </w:r>
      <w:r w:rsidR="005866FA" w:rsidRPr="00650AF9">
        <w:rPr>
          <w:rFonts w:asciiTheme="minorHAnsi" w:hAnsiTheme="minorHAnsi" w:cstheme="minorHAnsi"/>
          <w:sz w:val="22"/>
          <w:szCs w:val="22"/>
        </w:rPr>
        <w:t>[</w:t>
      </w:r>
      <w:r w:rsidRPr="00650AF9">
        <w:rPr>
          <w:rFonts w:asciiTheme="minorHAnsi" w:hAnsiTheme="minorHAnsi" w:cstheme="minorHAnsi"/>
          <w:sz w:val="22"/>
          <w:szCs w:val="22"/>
        </w:rPr>
        <w:t>DGS</w:t>
      </w:r>
      <w:r w:rsidR="005866FA" w:rsidRPr="00650AF9">
        <w:rPr>
          <w:rFonts w:asciiTheme="minorHAnsi" w:hAnsiTheme="minorHAnsi" w:cstheme="minorHAnsi"/>
          <w:sz w:val="22"/>
          <w:szCs w:val="22"/>
        </w:rPr>
        <w:t>]</w:t>
      </w:r>
      <w:r w:rsidRPr="00650AF9">
        <w:rPr>
          <w:rFonts w:asciiTheme="minorHAnsi" w:hAnsiTheme="minorHAnsi" w:cstheme="minorHAnsi"/>
          <w:sz w:val="22"/>
          <w:szCs w:val="22"/>
        </w:rPr>
        <w:t>, 2022</w:t>
      </w:r>
      <w:r w:rsidR="00955366" w:rsidRPr="00650AF9">
        <w:rPr>
          <w:rFonts w:asciiTheme="minorHAnsi" w:hAnsiTheme="minorHAnsi" w:cstheme="minorHAnsi"/>
          <w:sz w:val="22"/>
          <w:szCs w:val="22"/>
        </w:rPr>
        <w:t>a</w:t>
      </w:r>
      <w:r w:rsidRPr="00650AF9">
        <w:rPr>
          <w:rFonts w:asciiTheme="minorHAnsi" w:hAnsiTheme="minorHAnsi" w:cstheme="minorHAnsi"/>
          <w:sz w:val="22"/>
          <w:szCs w:val="22"/>
        </w:rPr>
        <w:t>).</w:t>
      </w:r>
    </w:p>
    <w:p w14:paraId="74C108EC" w14:textId="6C1869AD" w:rsidR="006A3788" w:rsidRPr="00650AF9" w:rsidRDefault="006A3788" w:rsidP="00650AF9">
      <w:pPr>
        <w:pStyle w:val="NormalWeb"/>
        <w:spacing w:before="0" w:beforeAutospacing="0" w:after="0" w:afterAutospacing="0" w:line="360" w:lineRule="auto"/>
        <w:ind w:left="-170" w:right="-170"/>
        <w:jc w:val="both"/>
        <w:rPr>
          <w:rFonts w:asciiTheme="minorHAnsi" w:hAnsiTheme="minorHAnsi" w:cstheme="minorHAnsi"/>
          <w:sz w:val="22"/>
          <w:szCs w:val="22"/>
        </w:rPr>
      </w:pPr>
      <w:r w:rsidRPr="00650AF9">
        <w:rPr>
          <w:rFonts w:asciiTheme="minorHAnsi" w:hAnsiTheme="minorHAnsi" w:cstheme="minorHAnsi"/>
          <w:sz w:val="22"/>
          <w:szCs w:val="22"/>
        </w:rPr>
        <w:t xml:space="preserve">De forma a superar esse desafio, </w:t>
      </w:r>
      <w:r w:rsidR="00E84706" w:rsidRPr="00650AF9">
        <w:rPr>
          <w:rFonts w:asciiTheme="minorHAnsi" w:hAnsiTheme="minorHAnsi" w:cstheme="minorHAnsi"/>
          <w:sz w:val="22"/>
          <w:szCs w:val="22"/>
        </w:rPr>
        <w:t>foi</w:t>
      </w:r>
      <w:r w:rsidRPr="00650AF9">
        <w:rPr>
          <w:rFonts w:asciiTheme="minorHAnsi" w:hAnsiTheme="minorHAnsi" w:cstheme="minorHAnsi"/>
          <w:sz w:val="22"/>
          <w:szCs w:val="22"/>
        </w:rPr>
        <w:t xml:space="preserve"> </w:t>
      </w:r>
      <w:r w:rsidR="00E84706" w:rsidRPr="00650AF9">
        <w:rPr>
          <w:rFonts w:asciiTheme="minorHAnsi" w:hAnsiTheme="minorHAnsi" w:cstheme="minorHAnsi"/>
          <w:sz w:val="22"/>
          <w:szCs w:val="22"/>
        </w:rPr>
        <w:t>reforçado a importância do uso de</w:t>
      </w:r>
      <w:r w:rsidRPr="00650AF9">
        <w:rPr>
          <w:rFonts w:asciiTheme="minorHAnsi" w:hAnsiTheme="minorHAnsi" w:cstheme="minorHAnsi"/>
          <w:sz w:val="22"/>
          <w:szCs w:val="22"/>
        </w:rPr>
        <w:t xml:space="preserve"> </w:t>
      </w:r>
      <w:proofErr w:type="spellStart"/>
      <w:r w:rsidRPr="00650AF9">
        <w:rPr>
          <w:rFonts w:asciiTheme="minorHAnsi" w:hAnsiTheme="minorHAnsi" w:cstheme="minorHAnsi"/>
          <w:i/>
          <w:iCs/>
          <w:sz w:val="22"/>
          <w:szCs w:val="22"/>
        </w:rPr>
        <w:t>guidelines</w:t>
      </w:r>
      <w:proofErr w:type="spellEnd"/>
      <w:r w:rsidRPr="00650AF9">
        <w:rPr>
          <w:rFonts w:asciiTheme="minorHAnsi" w:hAnsiTheme="minorHAnsi" w:cstheme="minorHAnsi"/>
          <w:sz w:val="22"/>
          <w:szCs w:val="22"/>
        </w:rPr>
        <w:t xml:space="preserve"> e normas pela DGS, tendo como objetivo a prevenção de ILC através da implementação de práticas baseadas em evidências e da implementação de “feixes de intervenções” (DGS, 2022</w:t>
      </w:r>
      <w:r w:rsidR="008E7A17" w:rsidRPr="00650AF9">
        <w:rPr>
          <w:rFonts w:asciiTheme="minorHAnsi" w:hAnsiTheme="minorHAnsi" w:cstheme="minorHAnsi"/>
          <w:sz w:val="22"/>
          <w:szCs w:val="22"/>
        </w:rPr>
        <w:t>b</w:t>
      </w:r>
      <w:r w:rsidRPr="00650AF9">
        <w:rPr>
          <w:rFonts w:asciiTheme="minorHAnsi" w:hAnsiTheme="minorHAnsi" w:cstheme="minorHAnsi"/>
          <w:sz w:val="22"/>
          <w:szCs w:val="22"/>
        </w:rPr>
        <w:t>).</w:t>
      </w:r>
    </w:p>
    <w:p w14:paraId="2C802C63" w14:textId="26F122A6" w:rsidR="006A3788" w:rsidRPr="00650AF9" w:rsidRDefault="003F563F" w:rsidP="00650AF9">
      <w:pPr>
        <w:pStyle w:val="NormalWeb"/>
        <w:spacing w:before="0" w:beforeAutospacing="0" w:after="0" w:afterAutospacing="0" w:line="360" w:lineRule="auto"/>
        <w:ind w:left="-170" w:right="-170"/>
        <w:jc w:val="both"/>
        <w:rPr>
          <w:rFonts w:asciiTheme="minorHAnsi" w:hAnsiTheme="minorHAnsi" w:cstheme="minorHAnsi"/>
          <w:sz w:val="22"/>
          <w:szCs w:val="22"/>
        </w:rPr>
      </w:pPr>
      <w:r w:rsidRPr="00650AF9">
        <w:rPr>
          <w:rFonts w:asciiTheme="minorHAnsi" w:hAnsiTheme="minorHAnsi" w:cstheme="minorHAnsi"/>
          <w:sz w:val="22"/>
          <w:szCs w:val="22"/>
        </w:rPr>
        <w:lastRenderedPageBreak/>
        <w:t>A</w:t>
      </w:r>
      <w:r w:rsidR="006A3788" w:rsidRPr="00650AF9">
        <w:rPr>
          <w:rFonts w:asciiTheme="minorHAnsi" w:hAnsiTheme="minorHAnsi" w:cstheme="minorHAnsi"/>
          <w:sz w:val="22"/>
          <w:szCs w:val="22"/>
        </w:rPr>
        <w:t xml:space="preserve"> </w:t>
      </w:r>
      <w:r w:rsidR="00787641" w:rsidRPr="00650AF9">
        <w:rPr>
          <w:rFonts w:asciiTheme="minorHAnsi" w:hAnsiTheme="minorHAnsi" w:cstheme="minorHAnsi"/>
          <w:sz w:val="22"/>
          <w:szCs w:val="22"/>
        </w:rPr>
        <w:t>DGS</w:t>
      </w:r>
      <w:r w:rsidR="006A3788" w:rsidRPr="00650AF9">
        <w:rPr>
          <w:rFonts w:asciiTheme="minorHAnsi" w:hAnsiTheme="minorHAnsi" w:cstheme="minorHAnsi"/>
          <w:sz w:val="22"/>
          <w:szCs w:val="22"/>
        </w:rPr>
        <w:t xml:space="preserve"> implementou a </w:t>
      </w:r>
      <w:r w:rsidR="001A386B" w:rsidRPr="00650AF9">
        <w:rPr>
          <w:rFonts w:asciiTheme="minorHAnsi" w:hAnsiTheme="minorHAnsi" w:cstheme="minorHAnsi"/>
          <w:sz w:val="22"/>
          <w:szCs w:val="22"/>
        </w:rPr>
        <w:t>N</w:t>
      </w:r>
      <w:r w:rsidR="006A3788" w:rsidRPr="00650AF9">
        <w:rPr>
          <w:rFonts w:asciiTheme="minorHAnsi" w:hAnsiTheme="minorHAnsi" w:cstheme="minorHAnsi"/>
          <w:sz w:val="22"/>
          <w:szCs w:val="22"/>
        </w:rPr>
        <w:t xml:space="preserve">orma 020/2015 em 15/12/2015, </w:t>
      </w:r>
      <w:r w:rsidR="00114E37" w:rsidRPr="00650AF9">
        <w:rPr>
          <w:rFonts w:asciiTheme="minorHAnsi" w:hAnsiTheme="minorHAnsi" w:cstheme="minorHAnsi"/>
          <w:sz w:val="22"/>
          <w:szCs w:val="22"/>
        </w:rPr>
        <w:t>tendo sido</w:t>
      </w:r>
      <w:r w:rsidR="006A3788" w:rsidRPr="00650AF9">
        <w:rPr>
          <w:rFonts w:asciiTheme="minorHAnsi" w:hAnsiTheme="minorHAnsi" w:cstheme="minorHAnsi"/>
          <w:sz w:val="22"/>
          <w:szCs w:val="22"/>
        </w:rPr>
        <w:t xml:space="preserve"> posteriormente atualizada </w:t>
      </w:r>
      <w:r w:rsidR="00114E37" w:rsidRPr="00650AF9">
        <w:rPr>
          <w:rFonts w:asciiTheme="minorHAnsi" w:hAnsiTheme="minorHAnsi" w:cstheme="minorHAnsi"/>
          <w:sz w:val="22"/>
          <w:szCs w:val="22"/>
        </w:rPr>
        <w:t>a</w:t>
      </w:r>
      <w:r w:rsidR="006A3788" w:rsidRPr="00650AF9">
        <w:rPr>
          <w:rFonts w:asciiTheme="minorHAnsi" w:hAnsiTheme="minorHAnsi" w:cstheme="minorHAnsi"/>
          <w:sz w:val="22"/>
          <w:szCs w:val="22"/>
        </w:rPr>
        <w:t xml:space="preserve"> 17/11/2022</w:t>
      </w:r>
      <w:r w:rsidR="00787641" w:rsidRPr="00650AF9">
        <w:rPr>
          <w:rFonts w:asciiTheme="minorHAnsi" w:hAnsiTheme="minorHAnsi" w:cstheme="minorHAnsi"/>
          <w:sz w:val="22"/>
          <w:szCs w:val="22"/>
        </w:rPr>
        <w:t xml:space="preserve"> (DGS, 2022b)</w:t>
      </w:r>
      <w:r w:rsidR="006A3788" w:rsidRPr="00650AF9">
        <w:rPr>
          <w:rFonts w:asciiTheme="minorHAnsi" w:hAnsiTheme="minorHAnsi" w:cstheme="minorHAnsi"/>
          <w:sz w:val="22"/>
          <w:szCs w:val="22"/>
        </w:rPr>
        <w:t xml:space="preserve">. Esta norma abrange uma série de medidas preventivas, </w:t>
      </w:r>
      <w:r w:rsidR="007F3B03" w:rsidRPr="00650AF9">
        <w:rPr>
          <w:rFonts w:asciiTheme="minorHAnsi" w:hAnsiTheme="minorHAnsi" w:cstheme="minorHAnsi"/>
          <w:sz w:val="22"/>
          <w:szCs w:val="22"/>
        </w:rPr>
        <w:t>como</w:t>
      </w:r>
      <w:r w:rsidR="006A3788" w:rsidRPr="00650AF9">
        <w:rPr>
          <w:rFonts w:asciiTheme="minorHAnsi" w:hAnsiTheme="minorHAnsi" w:cstheme="minorHAnsi"/>
          <w:sz w:val="22"/>
          <w:szCs w:val="22"/>
        </w:rPr>
        <w:t xml:space="preserve"> a aplicação integrada de "feixes de intervenções" como elemento fundamental para o sucesso na prevenção. </w:t>
      </w:r>
      <w:r w:rsidR="00B96BC6" w:rsidRPr="00650AF9">
        <w:rPr>
          <w:rFonts w:asciiTheme="minorHAnsi" w:hAnsiTheme="minorHAnsi" w:cstheme="minorHAnsi"/>
          <w:sz w:val="22"/>
          <w:szCs w:val="22"/>
        </w:rPr>
        <w:t>I</w:t>
      </w:r>
      <w:r w:rsidR="006A3788" w:rsidRPr="00650AF9">
        <w:rPr>
          <w:rFonts w:asciiTheme="minorHAnsi" w:hAnsiTheme="minorHAnsi" w:cstheme="minorHAnsi"/>
          <w:sz w:val="22"/>
          <w:szCs w:val="22"/>
        </w:rPr>
        <w:t xml:space="preserve">nsere-se no Objetivo Estratégico “5.3 Reduzir as Infeções Associadas aos Cuidados de Saúde (IACS) e as Resistências aos Antimicrobianos (RAM)” do Pilar 5. Práticas Seguras em Ambientes Seguros” do </w:t>
      </w:r>
      <w:r w:rsidR="004B2F45" w:rsidRPr="00650AF9">
        <w:rPr>
          <w:rFonts w:asciiTheme="minorHAnsi" w:hAnsiTheme="minorHAnsi" w:cstheme="minorHAnsi"/>
          <w:sz w:val="22"/>
          <w:szCs w:val="22"/>
          <w:shd w:val="clear" w:color="auto" w:fill="FFFFFF"/>
        </w:rPr>
        <w:t xml:space="preserve">Plano Nacional para a </w:t>
      </w:r>
      <w:r w:rsidR="004B2F45" w:rsidRPr="00650AF9">
        <w:rPr>
          <w:rFonts w:asciiTheme="minorHAnsi" w:hAnsiTheme="minorHAnsi" w:cstheme="minorHAnsi"/>
          <w:sz w:val="22"/>
          <w:szCs w:val="22"/>
        </w:rPr>
        <w:t>Segurança</w:t>
      </w:r>
      <w:r w:rsidR="004B2F45" w:rsidRPr="00650AF9">
        <w:rPr>
          <w:rFonts w:asciiTheme="minorHAnsi" w:hAnsiTheme="minorHAnsi" w:cstheme="minorHAnsi"/>
          <w:sz w:val="22"/>
          <w:szCs w:val="22"/>
          <w:shd w:val="clear" w:color="auto" w:fill="FFFFFF"/>
        </w:rPr>
        <w:t xml:space="preserve"> dos </w:t>
      </w:r>
      <w:r w:rsidR="004B2F45" w:rsidRPr="00650AF9">
        <w:rPr>
          <w:rFonts w:asciiTheme="minorHAnsi" w:hAnsiTheme="minorHAnsi" w:cstheme="minorHAnsi"/>
          <w:sz w:val="22"/>
          <w:szCs w:val="22"/>
        </w:rPr>
        <w:t>Doentes (</w:t>
      </w:r>
      <w:r w:rsidR="006A3788" w:rsidRPr="00650AF9">
        <w:rPr>
          <w:rFonts w:asciiTheme="minorHAnsi" w:hAnsiTheme="minorHAnsi" w:cstheme="minorHAnsi"/>
          <w:sz w:val="22"/>
          <w:szCs w:val="22"/>
        </w:rPr>
        <w:t>PNSD</w:t>
      </w:r>
      <w:r w:rsidR="004B2F45" w:rsidRPr="00650AF9">
        <w:rPr>
          <w:rFonts w:asciiTheme="minorHAnsi" w:hAnsiTheme="minorHAnsi" w:cstheme="minorHAnsi"/>
          <w:sz w:val="22"/>
          <w:szCs w:val="22"/>
        </w:rPr>
        <w:t>)</w:t>
      </w:r>
      <w:r w:rsidR="006A3788" w:rsidRPr="00650AF9">
        <w:rPr>
          <w:rFonts w:asciiTheme="minorHAnsi" w:hAnsiTheme="minorHAnsi" w:cstheme="minorHAnsi"/>
          <w:sz w:val="22"/>
          <w:szCs w:val="22"/>
        </w:rPr>
        <w:t xml:space="preserve"> 2021-2026</w:t>
      </w:r>
      <w:r w:rsidR="007F463D" w:rsidRPr="00650AF9">
        <w:rPr>
          <w:rFonts w:asciiTheme="minorHAnsi" w:hAnsiTheme="minorHAnsi" w:cstheme="minorHAnsi"/>
          <w:sz w:val="22"/>
          <w:szCs w:val="22"/>
        </w:rPr>
        <w:t xml:space="preserve"> (Despacho n.º 9390/2021, de 24 de setembro)</w:t>
      </w:r>
      <w:r w:rsidR="006A3788" w:rsidRPr="00650AF9">
        <w:rPr>
          <w:rFonts w:asciiTheme="minorHAnsi" w:hAnsiTheme="minorHAnsi" w:cstheme="minorHAnsi"/>
          <w:sz w:val="22"/>
          <w:szCs w:val="22"/>
        </w:rPr>
        <w:t>, reforçando a importância da padronização de procedimentos com base na evidência cirúrgica e o envolvimento de toda a equipa.</w:t>
      </w:r>
    </w:p>
    <w:p w14:paraId="4EF1242D" w14:textId="27AF3AF3" w:rsidR="00BD522F" w:rsidRPr="00650AF9" w:rsidRDefault="006A3788" w:rsidP="00650AF9">
      <w:pPr>
        <w:pStyle w:val="NormalWeb"/>
        <w:shd w:val="clear" w:color="auto" w:fill="FFFFFF"/>
        <w:spacing w:before="0" w:beforeAutospacing="0" w:after="0" w:afterAutospacing="0" w:line="360" w:lineRule="auto"/>
        <w:ind w:left="-170" w:right="-170"/>
        <w:jc w:val="both"/>
        <w:rPr>
          <w:rFonts w:asciiTheme="minorHAnsi" w:hAnsiTheme="minorHAnsi" w:cstheme="minorHAnsi"/>
          <w:sz w:val="22"/>
          <w:szCs w:val="22"/>
        </w:rPr>
      </w:pPr>
      <w:r w:rsidRPr="00650AF9">
        <w:rPr>
          <w:rFonts w:asciiTheme="minorHAnsi" w:hAnsiTheme="minorHAnsi" w:cstheme="minorHAnsi"/>
          <w:sz w:val="22"/>
          <w:szCs w:val="22"/>
        </w:rPr>
        <w:t xml:space="preserve">No entanto, a necessidade de aprofundar o conhecimento sobre os fatores de risco de ILC após Artroplastia do Joelho é evidente, especialmente considerando a constante evolução na área da saúde. Este estudo tem como objetivo mapear a evidência </w:t>
      </w:r>
      <w:r w:rsidRPr="00650AF9">
        <w:rPr>
          <w:rFonts w:asciiTheme="minorHAnsi" w:hAnsiTheme="minorHAnsi" w:cstheme="minorHAnsi"/>
          <w:sz w:val="22"/>
          <w:szCs w:val="22"/>
        </w:rPr>
        <w:t xml:space="preserve">científica sobre os fatores de risco de ILC em adultos submetidos a Artroplastia do Joelho. De forma a atingir esse objetivo, será realizada uma revisão do tipo </w:t>
      </w:r>
      <w:r w:rsidRPr="00650AF9">
        <w:rPr>
          <w:rFonts w:asciiTheme="minorHAnsi" w:hAnsiTheme="minorHAnsi" w:cstheme="minorHAnsi"/>
          <w:i/>
          <w:iCs/>
          <w:sz w:val="22"/>
          <w:szCs w:val="22"/>
        </w:rPr>
        <w:t>scoping review</w:t>
      </w:r>
      <w:r w:rsidRPr="00650AF9">
        <w:rPr>
          <w:rFonts w:asciiTheme="minorHAnsi" w:hAnsiTheme="minorHAnsi" w:cstheme="minorHAnsi"/>
          <w:sz w:val="22"/>
          <w:szCs w:val="22"/>
        </w:rPr>
        <w:t xml:space="preserve">, orientada pela metodologia do </w:t>
      </w:r>
      <w:r w:rsidRPr="00650AF9">
        <w:rPr>
          <w:rFonts w:asciiTheme="minorHAnsi" w:hAnsiTheme="minorHAnsi" w:cstheme="minorHAnsi"/>
          <w:i/>
          <w:iCs/>
          <w:sz w:val="22"/>
          <w:szCs w:val="22"/>
        </w:rPr>
        <w:t xml:space="preserve">Joanna </w:t>
      </w:r>
      <w:proofErr w:type="spellStart"/>
      <w:r w:rsidRPr="00650AF9">
        <w:rPr>
          <w:rFonts w:asciiTheme="minorHAnsi" w:hAnsiTheme="minorHAnsi" w:cstheme="minorHAnsi"/>
          <w:i/>
          <w:iCs/>
          <w:sz w:val="22"/>
          <w:szCs w:val="22"/>
        </w:rPr>
        <w:t>Briggs</w:t>
      </w:r>
      <w:proofErr w:type="spellEnd"/>
      <w:r w:rsidRPr="00650AF9">
        <w:rPr>
          <w:rFonts w:asciiTheme="minorHAnsi" w:hAnsiTheme="minorHAnsi" w:cstheme="minorHAnsi"/>
          <w:i/>
          <w:iCs/>
          <w:sz w:val="22"/>
          <w:szCs w:val="22"/>
        </w:rPr>
        <w:t xml:space="preserve"> </w:t>
      </w:r>
      <w:proofErr w:type="spellStart"/>
      <w:r w:rsidRPr="00650AF9">
        <w:rPr>
          <w:rFonts w:asciiTheme="minorHAnsi" w:hAnsiTheme="minorHAnsi" w:cstheme="minorHAnsi"/>
          <w:i/>
          <w:iCs/>
          <w:sz w:val="22"/>
          <w:szCs w:val="22"/>
        </w:rPr>
        <w:t>Institute</w:t>
      </w:r>
      <w:proofErr w:type="spellEnd"/>
      <w:r w:rsidRPr="00650AF9">
        <w:rPr>
          <w:rFonts w:asciiTheme="minorHAnsi" w:hAnsiTheme="minorHAnsi" w:cstheme="minorHAnsi"/>
          <w:sz w:val="22"/>
          <w:szCs w:val="22"/>
        </w:rPr>
        <w:t xml:space="preserve"> (JBI</w:t>
      </w:r>
      <w:r w:rsidR="002F5DA2" w:rsidRPr="00650AF9">
        <w:rPr>
          <w:rFonts w:asciiTheme="minorHAnsi" w:hAnsiTheme="minorHAnsi" w:cstheme="minorHAnsi"/>
          <w:sz w:val="22"/>
          <w:szCs w:val="22"/>
        </w:rPr>
        <w:t xml:space="preserve">). </w:t>
      </w:r>
      <w:r w:rsidRPr="00650AF9">
        <w:rPr>
          <w:rFonts w:asciiTheme="minorHAnsi" w:hAnsiTheme="minorHAnsi" w:cstheme="minorHAnsi"/>
          <w:sz w:val="22"/>
          <w:szCs w:val="22"/>
        </w:rPr>
        <w:t xml:space="preserve">O protocolo de revisão foi </w:t>
      </w:r>
      <w:r w:rsidR="00B257E0" w:rsidRPr="00650AF9">
        <w:rPr>
          <w:rFonts w:asciiTheme="minorHAnsi" w:hAnsiTheme="minorHAnsi" w:cstheme="minorHAnsi"/>
          <w:sz w:val="22"/>
          <w:szCs w:val="22"/>
        </w:rPr>
        <w:t>registado</w:t>
      </w:r>
      <w:r w:rsidRPr="00650AF9">
        <w:rPr>
          <w:rFonts w:asciiTheme="minorHAnsi" w:hAnsiTheme="minorHAnsi" w:cstheme="minorHAnsi"/>
          <w:sz w:val="22"/>
          <w:szCs w:val="22"/>
        </w:rPr>
        <w:t xml:space="preserve"> na base de dados </w:t>
      </w:r>
      <w:r w:rsidRPr="00650AF9">
        <w:rPr>
          <w:rFonts w:asciiTheme="minorHAnsi" w:hAnsiTheme="minorHAnsi" w:cstheme="minorHAnsi"/>
          <w:i/>
          <w:iCs/>
          <w:sz w:val="22"/>
          <w:szCs w:val="22"/>
        </w:rPr>
        <w:t xml:space="preserve">Open </w:t>
      </w:r>
      <w:proofErr w:type="spellStart"/>
      <w:r w:rsidRPr="00650AF9">
        <w:rPr>
          <w:rFonts w:asciiTheme="minorHAnsi" w:hAnsiTheme="minorHAnsi" w:cstheme="minorHAnsi"/>
          <w:i/>
          <w:iCs/>
          <w:sz w:val="22"/>
          <w:szCs w:val="22"/>
        </w:rPr>
        <w:t>Science</w:t>
      </w:r>
      <w:proofErr w:type="spellEnd"/>
      <w:r w:rsidRPr="00650AF9">
        <w:rPr>
          <w:rFonts w:asciiTheme="minorHAnsi" w:hAnsiTheme="minorHAnsi" w:cstheme="minorHAnsi"/>
          <w:i/>
          <w:iCs/>
          <w:sz w:val="22"/>
          <w:szCs w:val="22"/>
        </w:rPr>
        <w:t xml:space="preserve"> Framework </w:t>
      </w:r>
      <w:r w:rsidRPr="00650AF9">
        <w:rPr>
          <w:rFonts w:asciiTheme="minorHAnsi" w:hAnsiTheme="minorHAnsi" w:cstheme="minorHAnsi"/>
          <w:sz w:val="22"/>
          <w:szCs w:val="22"/>
        </w:rPr>
        <w:t>(</w:t>
      </w:r>
      <w:proofErr w:type="spellStart"/>
      <w:r w:rsidRPr="00650AF9">
        <w:rPr>
          <w:rFonts w:asciiTheme="minorHAnsi" w:hAnsiTheme="minorHAnsi" w:cstheme="minorHAnsi"/>
          <w:sz w:val="22"/>
          <w:szCs w:val="22"/>
        </w:rPr>
        <w:t>OSFHOMEhttps</w:t>
      </w:r>
      <w:proofErr w:type="spellEnd"/>
      <w:r w:rsidRPr="00650AF9">
        <w:rPr>
          <w:rFonts w:asciiTheme="minorHAnsi" w:hAnsiTheme="minorHAnsi" w:cstheme="minorHAnsi"/>
          <w:sz w:val="22"/>
          <w:szCs w:val="22"/>
        </w:rPr>
        <w:t>://osf.io/4xayj). A identificação desses fatores de risco é fundamental para o desenvolvimento de estratégias de prevenção mais eficazes, melhorar os resultados e garantir a segurança d</w:t>
      </w:r>
      <w:r w:rsidR="002F5DA2" w:rsidRPr="00650AF9">
        <w:rPr>
          <w:rFonts w:asciiTheme="minorHAnsi" w:hAnsiTheme="minorHAnsi" w:cstheme="minorHAnsi"/>
          <w:sz w:val="22"/>
          <w:szCs w:val="22"/>
        </w:rPr>
        <w:t>a</w:t>
      </w:r>
      <w:r w:rsidRPr="00650AF9">
        <w:rPr>
          <w:rFonts w:asciiTheme="minorHAnsi" w:hAnsiTheme="minorHAnsi" w:cstheme="minorHAnsi"/>
          <w:sz w:val="22"/>
          <w:szCs w:val="22"/>
        </w:rPr>
        <w:t xml:space="preserve">s </w:t>
      </w:r>
      <w:r w:rsidR="002F5DA2" w:rsidRPr="00650AF9">
        <w:rPr>
          <w:rFonts w:asciiTheme="minorHAnsi" w:hAnsiTheme="minorHAnsi" w:cstheme="minorHAnsi"/>
          <w:sz w:val="22"/>
          <w:szCs w:val="22"/>
        </w:rPr>
        <w:t>pessoas</w:t>
      </w:r>
      <w:r w:rsidRPr="00650AF9">
        <w:rPr>
          <w:rFonts w:asciiTheme="minorHAnsi" w:hAnsiTheme="minorHAnsi" w:cstheme="minorHAnsi"/>
          <w:sz w:val="22"/>
          <w:szCs w:val="22"/>
        </w:rPr>
        <w:t xml:space="preserve"> submetid</w:t>
      </w:r>
      <w:r w:rsidR="002F5DA2" w:rsidRPr="00650AF9">
        <w:rPr>
          <w:rFonts w:asciiTheme="minorHAnsi" w:hAnsiTheme="minorHAnsi" w:cstheme="minorHAnsi"/>
          <w:sz w:val="22"/>
          <w:szCs w:val="22"/>
        </w:rPr>
        <w:t>a</w:t>
      </w:r>
      <w:r w:rsidRPr="00650AF9">
        <w:rPr>
          <w:rFonts w:asciiTheme="minorHAnsi" w:hAnsiTheme="minorHAnsi" w:cstheme="minorHAnsi"/>
          <w:sz w:val="22"/>
          <w:szCs w:val="22"/>
        </w:rPr>
        <w:t>s a Artroplastia do Joelho.</w:t>
      </w:r>
    </w:p>
    <w:p w14:paraId="699CFFC5" w14:textId="77777777" w:rsidR="00EA7573" w:rsidRPr="00650AF9" w:rsidRDefault="00EA7573" w:rsidP="00650AF9">
      <w:pPr>
        <w:spacing w:after="0" w:line="360" w:lineRule="auto"/>
        <w:ind w:left="-170" w:right="-170"/>
        <w:jc w:val="both"/>
        <w:rPr>
          <w:rFonts w:cstheme="minorHAnsi"/>
        </w:rPr>
      </w:pPr>
    </w:p>
    <w:p w14:paraId="5DC866EA" w14:textId="709A46DA" w:rsidR="00F85FFA" w:rsidRPr="00650AF9" w:rsidRDefault="00BD522F" w:rsidP="00650AF9">
      <w:pPr>
        <w:spacing w:after="120" w:line="360" w:lineRule="auto"/>
        <w:ind w:left="-170" w:right="-170"/>
        <w:jc w:val="both"/>
        <w:rPr>
          <w:rFonts w:cstheme="minorHAnsi"/>
          <w:b/>
          <w:bCs/>
        </w:rPr>
      </w:pPr>
      <w:r w:rsidRPr="00650AF9">
        <w:rPr>
          <w:rFonts w:cstheme="minorHAnsi"/>
          <w:b/>
          <w:bCs/>
        </w:rPr>
        <w:t>PROCEDIMENTOS METODOLÓGICOS</w:t>
      </w:r>
      <w:r w:rsidR="00456457" w:rsidRPr="00650AF9">
        <w:rPr>
          <w:rFonts w:cstheme="minorHAnsi"/>
          <w:b/>
          <w:bCs/>
        </w:rPr>
        <w:t xml:space="preserve"> DE REVISÃO</w:t>
      </w:r>
    </w:p>
    <w:p w14:paraId="2D553E3C" w14:textId="77777777" w:rsidR="00650AF9" w:rsidRDefault="00C41258" w:rsidP="00650AF9">
      <w:pPr>
        <w:spacing w:after="0" w:line="360" w:lineRule="auto"/>
        <w:ind w:left="-170" w:right="-170"/>
        <w:jc w:val="both"/>
        <w:rPr>
          <w:rFonts w:cstheme="minorHAnsi"/>
        </w:rPr>
        <w:sectPr w:rsidR="00650AF9" w:rsidSect="00650AF9">
          <w:type w:val="continuous"/>
          <w:pgSz w:w="11906" w:h="16838"/>
          <w:pgMar w:top="1135" w:right="1080" w:bottom="568" w:left="1080" w:header="709" w:footer="709" w:gutter="0"/>
          <w:cols w:num="2" w:space="708"/>
          <w:docGrid w:linePitch="360"/>
        </w:sectPr>
      </w:pPr>
      <w:r w:rsidRPr="00650AF9">
        <w:rPr>
          <w:rFonts w:cstheme="minorHAnsi"/>
        </w:rPr>
        <w:t xml:space="preserve">Segundo </w:t>
      </w:r>
      <w:proofErr w:type="spellStart"/>
      <w:r w:rsidRPr="00650AF9">
        <w:rPr>
          <w:rFonts w:cstheme="minorHAnsi"/>
        </w:rPr>
        <w:t>Peters</w:t>
      </w:r>
      <w:proofErr w:type="spellEnd"/>
      <w:r w:rsidRPr="00650AF9">
        <w:rPr>
          <w:rFonts w:cstheme="minorHAnsi"/>
        </w:rPr>
        <w:t xml:space="preserve"> </w:t>
      </w:r>
      <w:proofErr w:type="spellStart"/>
      <w:r w:rsidRPr="00650AF9">
        <w:rPr>
          <w:rFonts w:cstheme="minorHAnsi"/>
        </w:rPr>
        <w:t>et</w:t>
      </w:r>
      <w:proofErr w:type="spellEnd"/>
      <w:r w:rsidRPr="00650AF9">
        <w:rPr>
          <w:rFonts w:cstheme="minorHAnsi"/>
        </w:rPr>
        <w:t xml:space="preserve"> al. (2020) o JBI recomenda que para as </w:t>
      </w:r>
      <w:r w:rsidRPr="00650AF9">
        <w:rPr>
          <w:rFonts w:cstheme="minorHAnsi"/>
          <w:i/>
          <w:iCs/>
        </w:rPr>
        <w:t>scoping reviews</w:t>
      </w:r>
      <w:r w:rsidRPr="00650AF9">
        <w:rPr>
          <w:rFonts w:cstheme="minorHAnsi"/>
        </w:rPr>
        <w:t xml:space="preserve"> seja usada a mnemónica PCC (população, conceito e contexto) para a definição da questão de revisão “Quais os fatores de risco de infeção do local cirúrgico após Artroplastia do Joelho?</w:t>
      </w:r>
      <w:r w:rsidR="00B91A3F" w:rsidRPr="00650AF9">
        <w:rPr>
          <w:rFonts w:cstheme="minorHAnsi"/>
        </w:rPr>
        <w:t>”</w:t>
      </w:r>
      <w:r w:rsidR="00DE1036" w:rsidRPr="00650AF9">
        <w:rPr>
          <w:rFonts w:cstheme="minorHAnsi"/>
        </w:rPr>
        <w:t xml:space="preserve">, como é apresentado na </w:t>
      </w:r>
      <w:r w:rsidR="003C60D9" w:rsidRPr="00650AF9">
        <w:rPr>
          <w:rFonts w:cstheme="minorHAnsi"/>
        </w:rPr>
        <w:t>Quadro</w:t>
      </w:r>
      <w:r w:rsidR="00DE1036" w:rsidRPr="00650AF9">
        <w:rPr>
          <w:rFonts w:cstheme="minorHAnsi"/>
        </w:rPr>
        <w:t xml:space="preserve"> 1.</w:t>
      </w:r>
    </w:p>
    <w:p w14:paraId="2F109511" w14:textId="77777777" w:rsidR="00B257E0" w:rsidRPr="00C5502A" w:rsidRDefault="00B257E0" w:rsidP="00650AF9">
      <w:pPr>
        <w:spacing w:after="0" w:line="360" w:lineRule="auto"/>
        <w:ind w:right="107"/>
        <w:jc w:val="both"/>
        <w:rPr>
          <w:rFonts w:cstheme="minorHAnsi"/>
        </w:rPr>
      </w:pPr>
    </w:p>
    <w:p w14:paraId="479B6CD9" w14:textId="77777777" w:rsidR="00EA7573" w:rsidRPr="00C5502A" w:rsidRDefault="00DC4088" w:rsidP="00711372">
      <w:pPr>
        <w:spacing w:after="0" w:line="240" w:lineRule="auto"/>
        <w:ind w:left="-170" w:right="-170"/>
        <w:jc w:val="both"/>
        <w:rPr>
          <w:rFonts w:cstheme="minorHAnsi"/>
        </w:rPr>
      </w:pPr>
      <w:r w:rsidRPr="00C5502A">
        <w:rPr>
          <w:rFonts w:cstheme="minorHAnsi"/>
        </w:rPr>
        <w:t>Quadro</w:t>
      </w:r>
      <w:r w:rsidR="00C41258" w:rsidRPr="00C5502A">
        <w:rPr>
          <w:rFonts w:cstheme="minorHAnsi"/>
        </w:rPr>
        <w:t xml:space="preserve"> 1</w:t>
      </w:r>
    </w:p>
    <w:p w14:paraId="28F6EA91" w14:textId="0BCCB72A" w:rsidR="00C41258" w:rsidRPr="00C5502A" w:rsidRDefault="00C41258" w:rsidP="00711372">
      <w:pPr>
        <w:spacing w:after="120" w:line="240" w:lineRule="auto"/>
        <w:ind w:left="-170" w:right="-170"/>
        <w:jc w:val="both"/>
        <w:rPr>
          <w:rFonts w:cstheme="minorHAnsi"/>
        </w:rPr>
      </w:pPr>
      <w:r w:rsidRPr="00C5502A">
        <w:rPr>
          <w:rFonts w:cstheme="minorHAnsi"/>
        </w:rPr>
        <w:t>Componentes da questão de revisão</w:t>
      </w:r>
    </w:p>
    <w:tbl>
      <w:tblPr>
        <w:tblStyle w:val="TabelacomGrelha"/>
        <w:tblW w:w="10207" w:type="dxa"/>
        <w:tblInd w:w="-284" w:type="dxa"/>
        <w:tblBorders>
          <w:left w:val="none" w:sz="0" w:space="0" w:color="auto"/>
          <w:right w:val="none" w:sz="0" w:space="0" w:color="auto"/>
        </w:tblBorders>
        <w:tblLook w:val="04A0" w:firstRow="1" w:lastRow="0" w:firstColumn="1" w:lastColumn="0" w:noHBand="0" w:noVBand="1"/>
      </w:tblPr>
      <w:tblGrid>
        <w:gridCol w:w="1702"/>
        <w:gridCol w:w="8505"/>
      </w:tblGrid>
      <w:tr w:rsidR="00725AE8" w:rsidRPr="00C5502A" w14:paraId="05A86300" w14:textId="77777777" w:rsidTr="00650AF9">
        <w:tc>
          <w:tcPr>
            <w:tcW w:w="1702" w:type="dxa"/>
          </w:tcPr>
          <w:p w14:paraId="448DAB08" w14:textId="2FAB39A1" w:rsidR="00C41258" w:rsidRPr="00C5502A" w:rsidRDefault="00DE1036" w:rsidP="00650AF9">
            <w:pPr>
              <w:ind w:right="-170"/>
              <w:jc w:val="both"/>
              <w:rPr>
                <w:rFonts w:cstheme="minorHAnsi"/>
              </w:rPr>
            </w:pPr>
            <w:r w:rsidRPr="00C5502A">
              <w:rPr>
                <w:rFonts w:cstheme="minorHAnsi"/>
              </w:rPr>
              <w:t>POPULAÇÃO</w:t>
            </w:r>
            <w:r w:rsidR="00C41258" w:rsidRPr="00C5502A">
              <w:rPr>
                <w:rFonts w:cstheme="minorHAnsi"/>
              </w:rPr>
              <w:t xml:space="preserve"> (P)</w:t>
            </w:r>
          </w:p>
        </w:tc>
        <w:tc>
          <w:tcPr>
            <w:tcW w:w="8505" w:type="dxa"/>
          </w:tcPr>
          <w:p w14:paraId="09E73351" w14:textId="08C22E9B" w:rsidR="00C41258" w:rsidRPr="00C5502A" w:rsidRDefault="00C41258" w:rsidP="00650AF9">
            <w:pPr>
              <w:jc w:val="both"/>
              <w:rPr>
                <w:rFonts w:cstheme="minorHAnsi"/>
              </w:rPr>
            </w:pPr>
            <w:r w:rsidRPr="00C5502A">
              <w:rPr>
                <w:rFonts w:cstheme="minorHAnsi"/>
              </w:rPr>
              <w:t>Pessoas Adultas, com idade igual ou superior a 18 anos, submetidos a Artroplastia do Joelho</w:t>
            </w:r>
          </w:p>
        </w:tc>
      </w:tr>
      <w:tr w:rsidR="00725AE8" w:rsidRPr="00C5502A" w14:paraId="157DD6E7" w14:textId="77777777" w:rsidTr="00650AF9">
        <w:tc>
          <w:tcPr>
            <w:tcW w:w="1702" w:type="dxa"/>
          </w:tcPr>
          <w:p w14:paraId="27EAAFCC" w14:textId="603E6D2E" w:rsidR="00C41258" w:rsidRPr="00C5502A" w:rsidRDefault="00C41258" w:rsidP="00650AF9">
            <w:pPr>
              <w:ind w:right="-170"/>
              <w:jc w:val="both"/>
              <w:rPr>
                <w:rFonts w:cstheme="minorHAnsi"/>
              </w:rPr>
            </w:pPr>
            <w:r w:rsidRPr="00C5502A">
              <w:rPr>
                <w:rFonts w:cstheme="minorHAnsi"/>
              </w:rPr>
              <w:t>CONCEITO (C)</w:t>
            </w:r>
          </w:p>
        </w:tc>
        <w:tc>
          <w:tcPr>
            <w:tcW w:w="8505" w:type="dxa"/>
          </w:tcPr>
          <w:p w14:paraId="7166F2CF" w14:textId="10C6A379" w:rsidR="00C41258" w:rsidRPr="00C5502A" w:rsidRDefault="00C41258" w:rsidP="00650AF9">
            <w:pPr>
              <w:jc w:val="both"/>
              <w:rPr>
                <w:rFonts w:cstheme="minorHAnsi"/>
              </w:rPr>
            </w:pPr>
            <w:r w:rsidRPr="00C5502A">
              <w:rPr>
                <w:rFonts w:cstheme="minorHAnsi"/>
              </w:rPr>
              <w:t>Fatores de risco de infeção do local cirúrgico</w:t>
            </w:r>
          </w:p>
        </w:tc>
      </w:tr>
      <w:tr w:rsidR="00C41258" w:rsidRPr="00C5502A" w14:paraId="1415EE4F" w14:textId="77777777" w:rsidTr="00650AF9">
        <w:tc>
          <w:tcPr>
            <w:tcW w:w="1702" w:type="dxa"/>
          </w:tcPr>
          <w:p w14:paraId="17AA1E62" w14:textId="723CD2C3" w:rsidR="00C41258" w:rsidRPr="00C5502A" w:rsidRDefault="00C41258" w:rsidP="00650AF9">
            <w:pPr>
              <w:ind w:right="-170"/>
              <w:jc w:val="both"/>
              <w:rPr>
                <w:rFonts w:cstheme="minorHAnsi"/>
              </w:rPr>
            </w:pPr>
            <w:r w:rsidRPr="00C5502A">
              <w:rPr>
                <w:rFonts w:cstheme="minorHAnsi"/>
              </w:rPr>
              <w:t>CONTEXTO (C)</w:t>
            </w:r>
          </w:p>
        </w:tc>
        <w:tc>
          <w:tcPr>
            <w:tcW w:w="8505" w:type="dxa"/>
          </w:tcPr>
          <w:p w14:paraId="745C4D7F" w14:textId="1164FA54" w:rsidR="00C41258" w:rsidRPr="00C5502A" w:rsidRDefault="00C41258" w:rsidP="00650AF9">
            <w:pPr>
              <w:jc w:val="both"/>
              <w:rPr>
                <w:rFonts w:cstheme="minorHAnsi"/>
              </w:rPr>
            </w:pPr>
            <w:r w:rsidRPr="00C5502A">
              <w:rPr>
                <w:rFonts w:cstheme="minorHAnsi"/>
              </w:rPr>
              <w:t>Hospitalar e Comunitário</w:t>
            </w:r>
          </w:p>
        </w:tc>
      </w:tr>
    </w:tbl>
    <w:p w14:paraId="3FBBC84A" w14:textId="77777777" w:rsidR="00EA7573" w:rsidRPr="00C5502A" w:rsidRDefault="00EA7573" w:rsidP="00382212">
      <w:pPr>
        <w:spacing w:after="0" w:line="360" w:lineRule="auto"/>
        <w:jc w:val="both"/>
        <w:rPr>
          <w:rFonts w:cstheme="minorHAnsi"/>
        </w:rPr>
      </w:pPr>
    </w:p>
    <w:p w14:paraId="564A3F81" w14:textId="77777777" w:rsidR="00650AF9" w:rsidRDefault="00650AF9" w:rsidP="00382212">
      <w:pPr>
        <w:spacing w:after="0" w:line="360" w:lineRule="auto"/>
        <w:jc w:val="both"/>
        <w:rPr>
          <w:rFonts w:cstheme="minorHAnsi"/>
        </w:rPr>
        <w:sectPr w:rsidR="00650AF9" w:rsidSect="00650AF9">
          <w:type w:val="continuous"/>
          <w:pgSz w:w="11906" w:h="16838"/>
          <w:pgMar w:top="1135" w:right="1080" w:bottom="568" w:left="1080" w:header="709" w:footer="709" w:gutter="0"/>
          <w:cols w:space="708"/>
          <w:titlePg/>
          <w:docGrid w:linePitch="360"/>
        </w:sectPr>
      </w:pPr>
    </w:p>
    <w:p w14:paraId="5875B8D4" w14:textId="30AB8937" w:rsidR="00E90383" w:rsidRPr="002F7079" w:rsidRDefault="00E90383" w:rsidP="00650AF9">
      <w:pPr>
        <w:spacing w:after="0" w:line="360" w:lineRule="auto"/>
        <w:ind w:left="-170" w:right="-170"/>
        <w:jc w:val="both"/>
        <w:rPr>
          <w:rFonts w:cstheme="minorHAnsi"/>
        </w:rPr>
      </w:pPr>
      <w:r w:rsidRPr="002F7079">
        <w:rPr>
          <w:rFonts w:cstheme="minorHAnsi"/>
        </w:rPr>
        <w:t xml:space="preserve">Foram incluídos estudos cujos participantes sejam pessoas adultas, submetidas a artroplastia do joelho; cujo objetivo se centre nos fatores de risco de ILC; realizados em contexto hospitalar e comunitário, uma vez que a ILC pode ocorrer até 90 dias da intervenção cirúrgica, no caso de implante de próteses. </w:t>
      </w:r>
      <w:r w:rsidR="00257CB7" w:rsidRPr="002F7079">
        <w:rPr>
          <w:rFonts w:cstheme="minorHAnsi"/>
        </w:rPr>
        <w:t>I</w:t>
      </w:r>
      <w:r w:rsidRPr="002F7079">
        <w:rPr>
          <w:rFonts w:cstheme="minorHAnsi"/>
        </w:rPr>
        <w:t>ncluíd</w:t>
      </w:r>
      <w:r w:rsidR="008B3638" w:rsidRPr="002F7079">
        <w:rPr>
          <w:rFonts w:cstheme="minorHAnsi"/>
        </w:rPr>
        <w:t>o</w:t>
      </w:r>
      <w:r w:rsidRPr="002F7079">
        <w:rPr>
          <w:rFonts w:cstheme="minorHAnsi"/>
        </w:rPr>
        <w:t>s</w:t>
      </w:r>
      <w:r w:rsidR="008B3638" w:rsidRPr="002F7079">
        <w:rPr>
          <w:rFonts w:cstheme="minorHAnsi"/>
        </w:rPr>
        <w:t xml:space="preserve"> estudos de inves</w:t>
      </w:r>
      <w:r w:rsidRPr="002F7079">
        <w:rPr>
          <w:rFonts w:cstheme="minorHAnsi"/>
        </w:rPr>
        <w:t>tigaç</w:t>
      </w:r>
      <w:r w:rsidR="008B3638" w:rsidRPr="002F7079">
        <w:rPr>
          <w:rFonts w:cstheme="minorHAnsi"/>
        </w:rPr>
        <w:t>ão</w:t>
      </w:r>
      <w:r w:rsidRPr="002F7079">
        <w:rPr>
          <w:rFonts w:cstheme="minorHAnsi"/>
        </w:rPr>
        <w:t xml:space="preserve"> primária </w:t>
      </w:r>
      <w:r w:rsidR="008B3638" w:rsidRPr="002F7079">
        <w:rPr>
          <w:rFonts w:cstheme="minorHAnsi"/>
        </w:rPr>
        <w:t>e</w:t>
      </w:r>
      <w:r w:rsidRPr="002F7079">
        <w:rPr>
          <w:rFonts w:cstheme="minorHAnsi"/>
        </w:rPr>
        <w:t xml:space="preserve"> secundária, qualitativa, quantitativa ou mistas</w:t>
      </w:r>
      <w:r w:rsidR="008B3638" w:rsidRPr="002F7079">
        <w:rPr>
          <w:rFonts w:cstheme="minorHAnsi"/>
        </w:rPr>
        <w:t xml:space="preserve"> publicados com ou sem revisão por pares e </w:t>
      </w:r>
      <w:r w:rsidRPr="002F7079">
        <w:rPr>
          <w:rFonts w:cstheme="minorHAnsi"/>
        </w:rPr>
        <w:t>literatura cinzenta</w:t>
      </w:r>
      <w:r w:rsidR="008A4666" w:rsidRPr="002F7079">
        <w:rPr>
          <w:rFonts w:cstheme="minorHAnsi"/>
        </w:rPr>
        <w:t xml:space="preserve">. </w:t>
      </w:r>
      <w:r w:rsidR="00257CB7" w:rsidRPr="002F7079">
        <w:rPr>
          <w:rFonts w:cstheme="minorHAnsi"/>
        </w:rPr>
        <w:t>E</w:t>
      </w:r>
      <w:r w:rsidR="008A4666" w:rsidRPr="002F7079">
        <w:rPr>
          <w:rFonts w:cstheme="minorHAnsi"/>
        </w:rPr>
        <w:t xml:space="preserve">xcluídos </w:t>
      </w:r>
      <w:r w:rsidR="008A4666" w:rsidRPr="002F7079">
        <w:rPr>
          <w:rFonts w:cstheme="minorHAnsi"/>
        </w:rPr>
        <w:t xml:space="preserve">resumos de conferências, comunicações orais ou pósteres. Aplicado limite temporal 2018 a 2024, </w:t>
      </w:r>
      <w:r w:rsidR="00257CB7" w:rsidRPr="002F7079">
        <w:rPr>
          <w:rFonts w:cstheme="minorHAnsi"/>
        </w:rPr>
        <w:t>pela identificação de</w:t>
      </w:r>
      <w:r w:rsidR="008A4666" w:rsidRPr="002F7079">
        <w:rPr>
          <w:rFonts w:cstheme="minorHAnsi"/>
        </w:rPr>
        <w:t xml:space="preserve"> uma revisão que incluía estudos até finais de 2017.</w:t>
      </w:r>
    </w:p>
    <w:p w14:paraId="565E4CB5" w14:textId="21E93CD4" w:rsidR="004F6933" w:rsidRPr="002F7079" w:rsidRDefault="00E90383" w:rsidP="00650AF9">
      <w:pPr>
        <w:spacing w:after="0" w:line="360" w:lineRule="auto"/>
        <w:ind w:left="-170" w:right="-170"/>
        <w:jc w:val="both"/>
        <w:rPr>
          <w:rFonts w:cstheme="minorHAnsi"/>
        </w:rPr>
      </w:pPr>
      <w:r w:rsidRPr="002F7079">
        <w:rPr>
          <w:rFonts w:cstheme="minorHAnsi"/>
        </w:rPr>
        <w:t>A estratégia de pesquisa</w:t>
      </w:r>
      <w:r w:rsidR="001723AC" w:rsidRPr="002F7079">
        <w:rPr>
          <w:rFonts w:cstheme="minorHAnsi"/>
        </w:rPr>
        <w:t xml:space="preserve"> compreendeu </w:t>
      </w:r>
      <w:r w:rsidRPr="002F7079">
        <w:rPr>
          <w:rFonts w:cstheme="minorHAnsi"/>
        </w:rPr>
        <w:t xml:space="preserve">uma pesquisa limitada inicial, utilizando termos relacionados com a questão de investigação, </w:t>
      </w:r>
      <w:r w:rsidR="001723AC" w:rsidRPr="002F7079">
        <w:rPr>
          <w:rFonts w:cstheme="minorHAnsi"/>
        </w:rPr>
        <w:t>no</w:t>
      </w:r>
      <w:r w:rsidRPr="002F7079">
        <w:rPr>
          <w:rFonts w:cstheme="minorHAnsi"/>
        </w:rPr>
        <w:t xml:space="preserve"> </w:t>
      </w:r>
      <w:r w:rsidRPr="002F7079">
        <w:rPr>
          <w:rFonts w:cstheme="minorHAnsi"/>
          <w:i/>
          <w:iCs/>
        </w:rPr>
        <w:t xml:space="preserve">Medical </w:t>
      </w:r>
      <w:proofErr w:type="spellStart"/>
      <w:r w:rsidRPr="002F7079">
        <w:rPr>
          <w:rFonts w:cstheme="minorHAnsi"/>
          <w:i/>
          <w:iCs/>
        </w:rPr>
        <w:t>Literature</w:t>
      </w:r>
      <w:proofErr w:type="spellEnd"/>
      <w:r w:rsidRPr="002F7079">
        <w:rPr>
          <w:rFonts w:cstheme="minorHAnsi"/>
          <w:i/>
          <w:iCs/>
        </w:rPr>
        <w:t xml:space="preserve"> </w:t>
      </w:r>
      <w:proofErr w:type="spellStart"/>
      <w:r w:rsidRPr="002F7079">
        <w:rPr>
          <w:rFonts w:cstheme="minorHAnsi"/>
          <w:i/>
          <w:iCs/>
        </w:rPr>
        <w:t>Analysis</w:t>
      </w:r>
      <w:proofErr w:type="spellEnd"/>
      <w:r w:rsidRPr="002F7079">
        <w:rPr>
          <w:rFonts w:cstheme="minorHAnsi"/>
          <w:i/>
          <w:iCs/>
        </w:rPr>
        <w:t xml:space="preserve"> </w:t>
      </w:r>
      <w:proofErr w:type="spellStart"/>
      <w:r w:rsidRPr="002F7079">
        <w:rPr>
          <w:rFonts w:cstheme="minorHAnsi"/>
          <w:i/>
          <w:iCs/>
        </w:rPr>
        <w:t>and</w:t>
      </w:r>
      <w:proofErr w:type="spellEnd"/>
      <w:r w:rsidRPr="002F7079">
        <w:rPr>
          <w:rFonts w:cstheme="minorHAnsi"/>
          <w:i/>
          <w:iCs/>
        </w:rPr>
        <w:t xml:space="preserve"> </w:t>
      </w:r>
      <w:proofErr w:type="spellStart"/>
      <w:r w:rsidRPr="002F7079">
        <w:rPr>
          <w:rFonts w:cstheme="minorHAnsi"/>
          <w:i/>
          <w:iCs/>
        </w:rPr>
        <w:t>Retrieval</w:t>
      </w:r>
      <w:proofErr w:type="spellEnd"/>
      <w:r w:rsidRPr="002F7079">
        <w:rPr>
          <w:rFonts w:cstheme="minorHAnsi"/>
          <w:i/>
          <w:iCs/>
        </w:rPr>
        <w:t xml:space="preserve"> </w:t>
      </w:r>
      <w:proofErr w:type="spellStart"/>
      <w:r w:rsidRPr="002F7079">
        <w:rPr>
          <w:rFonts w:cstheme="minorHAnsi"/>
          <w:i/>
          <w:iCs/>
        </w:rPr>
        <w:t>System</w:t>
      </w:r>
      <w:proofErr w:type="spellEnd"/>
      <w:r w:rsidRPr="002F7079">
        <w:rPr>
          <w:rFonts w:cstheme="minorHAnsi"/>
          <w:i/>
          <w:iCs/>
        </w:rPr>
        <w:t xml:space="preserve"> Online</w:t>
      </w:r>
      <w:r w:rsidRPr="002F7079">
        <w:rPr>
          <w:rFonts w:cstheme="minorHAnsi"/>
        </w:rPr>
        <w:t xml:space="preserve"> (MEDLINE), via </w:t>
      </w:r>
      <w:proofErr w:type="spellStart"/>
      <w:r w:rsidRPr="002F7079">
        <w:rPr>
          <w:rFonts w:cstheme="minorHAnsi"/>
        </w:rPr>
        <w:t>EBSCOhost</w:t>
      </w:r>
      <w:proofErr w:type="spellEnd"/>
      <w:r w:rsidRPr="002F7079">
        <w:rPr>
          <w:rFonts w:cstheme="minorHAnsi"/>
        </w:rPr>
        <w:t xml:space="preserve">. </w:t>
      </w:r>
      <w:r w:rsidR="00AE045E" w:rsidRPr="002F7079">
        <w:rPr>
          <w:rFonts w:cstheme="minorHAnsi"/>
        </w:rPr>
        <w:t>A</w:t>
      </w:r>
      <w:r w:rsidR="00B91A3F" w:rsidRPr="002F7079">
        <w:rPr>
          <w:rFonts w:cstheme="minorHAnsi"/>
        </w:rPr>
        <w:t>nalisaram-se as</w:t>
      </w:r>
      <w:r w:rsidRPr="002F7079">
        <w:rPr>
          <w:rFonts w:cstheme="minorHAnsi"/>
        </w:rPr>
        <w:t xml:space="preserve"> palavras de texto, nos </w:t>
      </w:r>
      <w:r w:rsidRPr="002F7079">
        <w:rPr>
          <w:rFonts w:cstheme="minorHAnsi"/>
        </w:rPr>
        <w:lastRenderedPageBreak/>
        <w:t xml:space="preserve">títulos, nos resumos e dos termos </w:t>
      </w:r>
      <w:proofErr w:type="spellStart"/>
      <w:r w:rsidRPr="002F7079">
        <w:rPr>
          <w:rFonts w:cstheme="minorHAnsi"/>
          <w:i/>
          <w:iCs/>
        </w:rPr>
        <w:t>MeSH</w:t>
      </w:r>
      <w:proofErr w:type="spellEnd"/>
      <w:r w:rsidRPr="002F7079">
        <w:rPr>
          <w:rFonts w:cstheme="minorHAnsi"/>
        </w:rPr>
        <w:t xml:space="preserve"> usados para descrever o artigo. </w:t>
      </w:r>
      <w:r w:rsidR="00DE1036" w:rsidRPr="002F7079">
        <w:rPr>
          <w:rFonts w:cstheme="minorHAnsi"/>
        </w:rPr>
        <w:t>Seguidamente na</w:t>
      </w:r>
      <w:r w:rsidRPr="002F7079">
        <w:rPr>
          <w:rFonts w:cstheme="minorHAnsi"/>
        </w:rPr>
        <w:t xml:space="preserve"> pesquisa dos </w:t>
      </w:r>
      <w:proofErr w:type="spellStart"/>
      <w:r w:rsidRPr="002F7079">
        <w:rPr>
          <w:rFonts w:cstheme="minorHAnsi"/>
        </w:rPr>
        <w:t>DeCS</w:t>
      </w:r>
      <w:proofErr w:type="spellEnd"/>
      <w:r w:rsidRPr="002F7079">
        <w:rPr>
          <w:rFonts w:cstheme="minorHAnsi"/>
        </w:rPr>
        <w:t xml:space="preserve">, em </w:t>
      </w:r>
      <w:hyperlink r:id="rId18" w:history="1">
        <w:r w:rsidRPr="002F7079">
          <w:rPr>
            <w:rStyle w:val="Hiperligao"/>
            <w:rFonts w:cstheme="minorHAnsi"/>
            <w:color w:val="auto"/>
          </w:rPr>
          <w:t>https://decs.bvsalud.org/</w:t>
        </w:r>
      </w:hyperlink>
      <w:r w:rsidRPr="002F7079">
        <w:rPr>
          <w:rFonts w:cstheme="minorHAnsi"/>
        </w:rPr>
        <w:t xml:space="preserve"> importa referir que: ao pesquisar o termo Artroplastia do Joelho</w:t>
      </w:r>
      <w:r w:rsidR="00DE1036" w:rsidRPr="002F7079">
        <w:rPr>
          <w:rFonts w:cstheme="minorHAnsi"/>
        </w:rPr>
        <w:t>,</w:t>
      </w:r>
      <w:r w:rsidRPr="002F7079">
        <w:rPr>
          <w:rFonts w:cstheme="minorHAnsi"/>
        </w:rPr>
        <w:t xml:space="preserve"> surgiu 1 descritor, “</w:t>
      </w:r>
      <w:proofErr w:type="spellStart"/>
      <w:r w:rsidRPr="002F7079">
        <w:rPr>
          <w:rFonts w:cstheme="minorHAnsi"/>
        </w:rPr>
        <w:t>Arthrosplasty</w:t>
      </w:r>
      <w:proofErr w:type="spellEnd"/>
      <w:r w:rsidRPr="002F7079">
        <w:rPr>
          <w:rFonts w:cstheme="minorHAnsi"/>
        </w:rPr>
        <w:t xml:space="preserve">, </w:t>
      </w:r>
      <w:proofErr w:type="spellStart"/>
      <w:r w:rsidRPr="002F7079">
        <w:rPr>
          <w:rFonts w:cstheme="minorHAnsi"/>
        </w:rPr>
        <w:t>Replacement</w:t>
      </w:r>
      <w:proofErr w:type="spellEnd"/>
      <w:r w:rsidRPr="002F7079">
        <w:rPr>
          <w:rFonts w:cstheme="minorHAnsi"/>
        </w:rPr>
        <w:t xml:space="preserve">, </w:t>
      </w:r>
      <w:proofErr w:type="spellStart"/>
      <w:r w:rsidRPr="002F7079">
        <w:rPr>
          <w:rFonts w:cstheme="minorHAnsi"/>
        </w:rPr>
        <w:t>Knee</w:t>
      </w:r>
      <w:proofErr w:type="spellEnd"/>
      <w:r w:rsidRPr="002F7079">
        <w:rPr>
          <w:rFonts w:cstheme="minorHAnsi"/>
        </w:rPr>
        <w:t>”; o termo fatores de risco produziu 6 descritores, tendo-se optado pelo descritor 1, “</w:t>
      </w:r>
      <w:proofErr w:type="spellStart"/>
      <w:r w:rsidRPr="002F7079">
        <w:rPr>
          <w:rFonts w:cstheme="minorHAnsi"/>
        </w:rPr>
        <w:t>Risk</w:t>
      </w:r>
      <w:proofErr w:type="spellEnd"/>
      <w:r w:rsidRPr="002F7079">
        <w:rPr>
          <w:rFonts w:cstheme="minorHAnsi"/>
        </w:rPr>
        <w:t xml:space="preserve"> </w:t>
      </w:r>
      <w:proofErr w:type="spellStart"/>
      <w:r w:rsidRPr="002F7079">
        <w:rPr>
          <w:rFonts w:cstheme="minorHAnsi"/>
        </w:rPr>
        <w:t>Factors</w:t>
      </w:r>
      <w:proofErr w:type="spellEnd"/>
      <w:r w:rsidRPr="002F7079">
        <w:rPr>
          <w:rFonts w:cstheme="minorHAnsi"/>
        </w:rPr>
        <w:t xml:space="preserve">”; o termo Infeção do Local Cirúrgico não produziu qualquer descritor, </w:t>
      </w:r>
      <w:r w:rsidR="00DE1036" w:rsidRPr="002F7079">
        <w:rPr>
          <w:rFonts w:cstheme="minorHAnsi"/>
        </w:rPr>
        <w:t>optando-se</w:t>
      </w:r>
      <w:r w:rsidRPr="002F7079">
        <w:rPr>
          <w:rFonts w:cstheme="minorHAnsi"/>
        </w:rPr>
        <w:t xml:space="preserve"> pelo termo Infeção da Ferida Cirúrgica, tendo tido apenas 1 resultado, o descritor “</w:t>
      </w:r>
      <w:proofErr w:type="spellStart"/>
      <w:r w:rsidRPr="002F7079">
        <w:rPr>
          <w:rFonts w:cstheme="minorHAnsi"/>
        </w:rPr>
        <w:t>Surgical</w:t>
      </w:r>
      <w:proofErr w:type="spellEnd"/>
      <w:r w:rsidRPr="002F7079">
        <w:rPr>
          <w:rFonts w:cstheme="minorHAnsi"/>
        </w:rPr>
        <w:t xml:space="preserve"> </w:t>
      </w:r>
      <w:proofErr w:type="spellStart"/>
      <w:r w:rsidRPr="002F7079">
        <w:rPr>
          <w:rFonts w:cstheme="minorHAnsi"/>
        </w:rPr>
        <w:t>Wound</w:t>
      </w:r>
      <w:proofErr w:type="spellEnd"/>
      <w:r w:rsidRPr="002F7079">
        <w:rPr>
          <w:rFonts w:cstheme="minorHAnsi"/>
        </w:rPr>
        <w:t xml:space="preserve"> </w:t>
      </w:r>
      <w:proofErr w:type="spellStart"/>
      <w:r w:rsidRPr="002F7079">
        <w:rPr>
          <w:rFonts w:cstheme="minorHAnsi"/>
        </w:rPr>
        <w:t>Infection</w:t>
      </w:r>
      <w:proofErr w:type="spellEnd"/>
      <w:r w:rsidRPr="002F7079">
        <w:rPr>
          <w:rFonts w:cstheme="minorHAnsi"/>
        </w:rPr>
        <w:t xml:space="preserve">”. </w:t>
      </w:r>
      <w:r w:rsidR="00AE045E" w:rsidRPr="002F7079">
        <w:rPr>
          <w:rFonts w:cstheme="minorHAnsi"/>
        </w:rPr>
        <w:t>Desenvolvida</w:t>
      </w:r>
      <w:r w:rsidRPr="002F7079">
        <w:rPr>
          <w:rFonts w:cstheme="minorHAnsi"/>
        </w:rPr>
        <w:t xml:space="preserve"> uma estratégia de busca completa, através da definição da frase </w:t>
      </w:r>
      <w:proofErr w:type="spellStart"/>
      <w:r w:rsidRPr="002F7079">
        <w:rPr>
          <w:rFonts w:cstheme="minorHAnsi"/>
        </w:rPr>
        <w:t>boleana</w:t>
      </w:r>
      <w:proofErr w:type="spellEnd"/>
      <w:r w:rsidRPr="002F7079">
        <w:rPr>
          <w:rFonts w:cstheme="minorHAnsi"/>
        </w:rPr>
        <w:t xml:space="preserve"> (“</w:t>
      </w:r>
      <w:proofErr w:type="spellStart"/>
      <w:r w:rsidRPr="002F7079">
        <w:rPr>
          <w:rFonts w:cstheme="minorHAnsi"/>
        </w:rPr>
        <w:t>Arthroplasty</w:t>
      </w:r>
      <w:proofErr w:type="spellEnd"/>
      <w:r w:rsidRPr="002F7079">
        <w:rPr>
          <w:rFonts w:cstheme="minorHAnsi"/>
        </w:rPr>
        <w:t xml:space="preserve">, </w:t>
      </w:r>
      <w:proofErr w:type="spellStart"/>
      <w:r w:rsidRPr="002F7079">
        <w:rPr>
          <w:rFonts w:cstheme="minorHAnsi"/>
        </w:rPr>
        <w:t>Replacement</w:t>
      </w:r>
      <w:proofErr w:type="spellEnd"/>
      <w:r w:rsidRPr="002F7079">
        <w:rPr>
          <w:rFonts w:cstheme="minorHAnsi"/>
        </w:rPr>
        <w:t xml:space="preserve">, </w:t>
      </w:r>
      <w:proofErr w:type="spellStart"/>
      <w:r w:rsidRPr="002F7079">
        <w:rPr>
          <w:rFonts w:cstheme="minorHAnsi"/>
        </w:rPr>
        <w:t>Knee</w:t>
      </w:r>
      <w:proofErr w:type="spellEnd"/>
      <w:r w:rsidRPr="002F7079">
        <w:rPr>
          <w:rFonts w:cstheme="minorHAnsi"/>
        </w:rPr>
        <w:t>”) AND (“</w:t>
      </w:r>
      <w:proofErr w:type="spellStart"/>
      <w:r w:rsidRPr="002F7079">
        <w:rPr>
          <w:rFonts w:cstheme="minorHAnsi"/>
        </w:rPr>
        <w:t>Risk</w:t>
      </w:r>
      <w:proofErr w:type="spellEnd"/>
      <w:r w:rsidRPr="002F7079">
        <w:rPr>
          <w:rFonts w:cstheme="minorHAnsi"/>
        </w:rPr>
        <w:t xml:space="preserve"> </w:t>
      </w:r>
      <w:proofErr w:type="spellStart"/>
      <w:r w:rsidRPr="002F7079">
        <w:rPr>
          <w:rFonts w:cstheme="minorHAnsi"/>
        </w:rPr>
        <w:t>Factors</w:t>
      </w:r>
      <w:proofErr w:type="spellEnd"/>
      <w:r w:rsidRPr="002F7079">
        <w:rPr>
          <w:rFonts w:cstheme="minorHAnsi"/>
        </w:rPr>
        <w:t>”) AND (“</w:t>
      </w:r>
      <w:proofErr w:type="spellStart"/>
      <w:r w:rsidRPr="002F7079">
        <w:rPr>
          <w:rFonts w:cstheme="minorHAnsi"/>
        </w:rPr>
        <w:t>Surgical</w:t>
      </w:r>
      <w:proofErr w:type="spellEnd"/>
      <w:r w:rsidRPr="002F7079">
        <w:rPr>
          <w:rFonts w:cstheme="minorHAnsi"/>
        </w:rPr>
        <w:t xml:space="preserve"> </w:t>
      </w:r>
      <w:proofErr w:type="spellStart"/>
      <w:r w:rsidRPr="002F7079">
        <w:rPr>
          <w:rFonts w:cstheme="minorHAnsi"/>
        </w:rPr>
        <w:t>Wound</w:t>
      </w:r>
      <w:proofErr w:type="spellEnd"/>
      <w:r w:rsidRPr="002F7079">
        <w:rPr>
          <w:rFonts w:cstheme="minorHAnsi"/>
        </w:rPr>
        <w:t xml:space="preserve"> </w:t>
      </w:r>
      <w:proofErr w:type="spellStart"/>
      <w:r w:rsidRPr="002F7079">
        <w:rPr>
          <w:rFonts w:cstheme="minorHAnsi"/>
        </w:rPr>
        <w:t>Infection</w:t>
      </w:r>
      <w:proofErr w:type="spellEnd"/>
      <w:r w:rsidRPr="002F7079">
        <w:rPr>
          <w:rFonts w:cstheme="minorHAnsi"/>
        </w:rPr>
        <w:t xml:space="preserve">”) nas bases de dados: </w:t>
      </w:r>
      <w:r w:rsidRPr="002F7079">
        <w:rPr>
          <w:rFonts w:cstheme="minorHAnsi"/>
        </w:rPr>
        <w:t xml:space="preserve">MEDLINE (via </w:t>
      </w:r>
      <w:proofErr w:type="spellStart"/>
      <w:r w:rsidRPr="002F7079">
        <w:rPr>
          <w:rFonts w:cstheme="minorHAnsi"/>
        </w:rPr>
        <w:t>Pubmed</w:t>
      </w:r>
      <w:proofErr w:type="spellEnd"/>
      <w:r w:rsidRPr="002F7079">
        <w:rPr>
          <w:rFonts w:cstheme="minorHAnsi"/>
        </w:rPr>
        <w:t xml:space="preserve">), na CINAHL, </w:t>
      </w:r>
      <w:proofErr w:type="spellStart"/>
      <w:r w:rsidRPr="002F7079">
        <w:rPr>
          <w:rFonts w:cstheme="minorHAnsi"/>
        </w:rPr>
        <w:t>SciELO</w:t>
      </w:r>
      <w:proofErr w:type="spellEnd"/>
      <w:r w:rsidRPr="002F7079">
        <w:rPr>
          <w:rFonts w:cstheme="minorHAnsi"/>
        </w:rPr>
        <w:t xml:space="preserve">, </w:t>
      </w:r>
      <w:proofErr w:type="spellStart"/>
      <w:r w:rsidRPr="002F7079">
        <w:rPr>
          <w:rFonts w:cstheme="minorHAnsi"/>
        </w:rPr>
        <w:t>Scopus</w:t>
      </w:r>
      <w:proofErr w:type="spellEnd"/>
      <w:r w:rsidRPr="002F7079">
        <w:rPr>
          <w:rFonts w:cstheme="minorHAnsi"/>
        </w:rPr>
        <w:t xml:space="preserve">, LILACS, Cochrane </w:t>
      </w:r>
      <w:proofErr w:type="spellStart"/>
      <w:r w:rsidRPr="002F7079">
        <w:rPr>
          <w:rFonts w:cstheme="minorHAnsi"/>
        </w:rPr>
        <w:t>Database</w:t>
      </w:r>
      <w:proofErr w:type="spellEnd"/>
      <w:r w:rsidRPr="002F7079">
        <w:rPr>
          <w:rFonts w:cstheme="minorHAnsi"/>
        </w:rPr>
        <w:t xml:space="preserve"> </w:t>
      </w:r>
      <w:proofErr w:type="spellStart"/>
      <w:r w:rsidRPr="002F7079">
        <w:rPr>
          <w:rFonts w:cstheme="minorHAnsi"/>
        </w:rPr>
        <w:t>of</w:t>
      </w:r>
      <w:proofErr w:type="spellEnd"/>
      <w:r w:rsidRPr="002F7079">
        <w:rPr>
          <w:rFonts w:cstheme="minorHAnsi"/>
        </w:rPr>
        <w:t xml:space="preserve"> </w:t>
      </w:r>
      <w:proofErr w:type="spellStart"/>
      <w:r w:rsidRPr="002F7079">
        <w:rPr>
          <w:rFonts w:cstheme="minorHAnsi"/>
        </w:rPr>
        <w:t>Systematic</w:t>
      </w:r>
      <w:proofErr w:type="spellEnd"/>
      <w:r w:rsidRPr="002F7079">
        <w:rPr>
          <w:rFonts w:cstheme="minorHAnsi"/>
        </w:rPr>
        <w:t xml:space="preserve"> </w:t>
      </w:r>
      <w:proofErr w:type="spellStart"/>
      <w:r w:rsidRPr="002F7079">
        <w:rPr>
          <w:rFonts w:cstheme="minorHAnsi"/>
        </w:rPr>
        <w:t>Reviews</w:t>
      </w:r>
      <w:proofErr w:type="spellEnd"/>
      <w:r w:rsidR="004E4A53" w:rsidRPr="002F7079">
        <w:rPr>
          <w:rFonts w:cstheme="minorHAnsi"/>
        </w:rPr>
        <w:t>, nas suas adaptações às diferentes bases de dados científicas, ou seja, utilizando os termos selecionados como termos indexados ou como termos naturais</w:t>
      </w:r>
      <w:r w:rsidR="001723AC" w:rsidRPr="002F7079">
        <w:rPr>
          <w:rFonts w:cstheme="minorHAnsi"/>
        </w:rPr>
        <w:t xml:space="preserve">. </w:t>
      </w:r>
      <w:r w:rsidRPr="002F7079">
        <w:rPr>
          <w:rFonts w:cstheme="minorHAnsi"/>
        </w:rPr>
        <w:t>A literatura cinzenta foi pesquisada no RCAAP</w:t>
      </w:r>
      <w:r w:rsidR="00ED24D3" w:rsidRPr="002F7079">
        <w:rPr>
          <w:rFonts w:cstheme="minorHAnsi"/>
        </w:rPr>
        <w:t xml:space="preserve"> </w:t>
      </w:r>
      <w:r w:rsidR="00ED24D3" w:rsidRPr="002F7079">
        <w:rPr>
          <w:rFonts w:cstheme="minorHAnsi"/>
          <w:shd w:val="clear" w:color="auto" w:fill="FFFFFF"/>
        </w:rPr>
        <w:t>(Repositório Científico de Acesso Aberto de Portugal)</w:t>
      </w:r>
      <w:r w:rsidRPr="002F7079">
        <w:rPr>
          <w:rFonts w:cstheme="minorHAnsi"/>
        </w:rPr>
        <w:t xml:space="preserve">, DART- </w:t>
      </w:r>
      <w:proofErr w:type="spellStart"/>
      <w:r w:rsidRPr="002F7079">
        <w:rPr>
          <w:rFonts w:cstheme="minorHAnsi"/>
        </w:rPr>
        <w:t>Europe</w:t>
      </w:r>
      <w:proofErr w:type="spellEnd"/>
      <w:r w:rsidRPr="002F7079">
        <w:rPr>
          <w:rFonts w:cstheme="minorHAnsi"/>
        </w:rPr>
        <w:t xml:space="preserve"> e </w:t>
      </w:r>
      <w:proofErr w:type="spellStart"/>
      <w:r w:rsidRPr="002F7079">
        <w:rPr>
          <w:rFonts w:cstheme="minorHAnsi"/>
        </w:rPr>
        <w:t>OpenGrey</w:t>
      </w:r>
      <w:proofErr w:type="spellEnd"/>
      <w:r w:rsidR="004F6933" w:rsidRPr="002F7079">
        <w:rPr>
          <w:rFonts w:cstheme="minorHAnsi"/>
        </w:rPr>
        <w:t>.</w:t>
      </w:r>
      <w:r w:rsidR="00B91A3F" w:rsidRPr="002F7079">
        <w:rPr>
          <w:rFonts w:cstheme="minorHAnsi"/>
        </w:rPr>
        <w:t xml:space="preserve"> </w:t>
      </w:r>
      <w:r w:rsidR="00AE045E" w:rsidRPr="002F7079">
        <w:rPr>
          <w:rFonts w:cstheme="minorHAnsi"/>
        </w:rPr>
        <w:t>A</w:t>
      </w:r>
      <w:r w:rsidR="004F6933" w:rsidRPr="002F7079">
        <w:rPr>
          <w:rFonts w:cstheme="minorHAnsi"/>
        </w:rPr>
        <w:t>nalisadas as referências bibliográficas incluídas em todos os artigos, com o objetivo de identificar estudos adicionais</w:t>
      </w:r>
      <w:r w:rsidR="00AE045E" w:rsidRPr="002F7079">
        <w:rPr>
          <w:rFonts w:cstheme="minorHAnsi"/>
        </w:rPr>
        <w:t>.</w:t>
      </w:r>
    </w:p>
    <w:p w14:paraId="797316B8" w14:textId="77777777" w:rsidR="00650AF9" w:rsidRPr="002F7079" w:rsidRDefault="00517C2F" w:rsidP="00650AF9">
      <w:pPr>
        <w:spacing w:after="0" w:line="360" w:lineRule="auto"/>
        <w:ind w:left="-170" w:right="-170"/>
        <w:jc w:val="both"/>
        <w:rPr>
          <w:rFonts w:cstheme="minorHAnsi"/>
        </w:rPr>
        <w:sectPr w:rsidR="00650AF9" w:rsidRPr="002F7079" w:rsidSect="00650AF9">
          <w:type w:val="continuous"/>
          <w:pgSz w:w="11906" w:h="16838"/>
          <w:pgMar w:top="1135" w:right="1080" w:bottom="568" w:left="1080" w:header="709" w:footer="709" w:gutter="0"/>
          <w:cols w:num="2" w:space="708"/>
          <w:titlePg/>
          <w:docGrid w:linePitch="360"/>
        </w:sectPr>
      </w:pPr>
      <w:r w:rsidRPr="002F7079">
        <w:rPr>
          <w:rFonts w:cstheme="minorHAnsi"/>
        </w:rPr>
        <w:t>O resultado da seleção é apresentado na figura 1 de acordo com o PRISMA-</w:t>
      </w:r>
      <w:proofErr w:type="spellStart"/>
      <w:r w:rsidRPr="002F7079">
        <w:rPr>
          <w:rFonts w:cstheme="minorHAnsi"/>
        </w:rPr>
        <w:t>ScR</w:t>
      </w:r>
      <w:proofErr w:type="spellEnd"/>
      <w:r w:rsidRPr="002F7079">
        <w:rPr>
          <w:rFonts w:cstheme="minorHAnsi"/>
        </w:rPr>
        <w:t xml:space="preserve"> (</w:t>
      </w:r>
      <w:proofErr w:type="spellStart"/>
      <w:r w:rsidRPr="002F7079">
        <w:rPr>
          <w:rFonts w:cstheme="minorHAnsi"/>
          <w:i/>
          <w:iCs/>
        </w:rPr>
        <w:t>Preferred</w:t>
      </w:r>
      <w:proofErr w:type="spellEnd"/>
      <w:r w:rsidRPr="002F7079">
        <w:rPr>
          <w:rFonts w:cstheme="minorHAnsi"/>
          <w:i/>
          <w:iCs/>
        </w:rPr>
        <w:t xml:space="preserve"> </w:t>
      </w:r>
      <w:proofErr w:type="spellStart"/>
      <w:r w:rsidRPr="002F7079">
        <w:rPr>
          <w:rFonts w:cstheme="minorHAnsi"/>
          <w:i/>
          <w:iCs/>
        </w:rPr>
        <w:t>Reporting</w:t>
      </w:r>
      <w:proofErr w:type="spellEnd"/>
      <w:r w:rsidRPr="002F7079">
        <w:rPr>
          <w:rFonts w:cstheme="minorHAnsi"/>
          <w:i/>
          <w:iCs/>
        </w:rPr>
        <w:t xml:space="preserve"> </w:t>
      </w:r>
      <w:proofErr w:type="spellStart"/>
      <w:r w:rsidRPr="002F7079">
        <w:rPr>
          <w:rFonts w:cstheme="minorHAnsi"/>
          <w:i/>
          <w:iCs/>
        </w:rPr>
        <w:t>Items</w:t>
      </w:r>
      <w:proofErr w:type="spellEnd"/>
      <w:r w:rsidRPr="002F7079">
        <w:rPr>
          <w:rFonts w:cstheme="minorHAnsi"/>
          <w:i/>
          <w:iCs/>
        </w:rPr>
        <w:t xml:space="preserve"> for </w:t>
      </w:r>
      <w:proofErr w:type="spellStart"/>
      <w:r w:rsidRPr="002F7079">
        <w:rPr>
          <w:rFonts w:cstheme="minorHAnsi"/>
          <w:i/>
          <w:iCs/>
        </w:rPr>
        <w:t>Systematic</w:t>
      </w:r>
      <w:proofErr w:type="spellEnd"/>
      <w:r w:rsidRPr="002F7079">
        <w:rPr>
          <w:rFonts w:cstheme="minorHAnsi"/>
          <w:i/>
          <w:iCs/>
        </w:rPr>
        <w:t xml:space="preserve"> </w:t>
      </w:r>
      <w:proofErr w:type="spellStart"/>
      <w:r w:rsidRPr="002F7079">
        <w:rPr>
          <w:rFonts w:cstheme="minorHAnsi"/>
          <w:i/>
          <w:iCs/>
        </w:rPr>
        <w:t>Reviews</w:t>
      </w:r>
      <w:proofErr w:type="spellEnd"/>
      <w:r w:rsidRPr="002F7079">
        <w:rPr>
          <w:rFonts w:cstheme="minorHAnsi"/>
          <w:i/>
          <w:iCs/>
        </w:rPr>
        <w:t xml:space="preserve"> </w:t>
      </w:r>
      <w:proofErr w:type="spellStart"/>
      <w:r w:rsidRPr="002F7079">
        <w:rPr>
          <w:rFonts w:cstheme="minorHAnsi"/>
          <w:i/>
          <w:iCs/>
        </w:rPr>
        <w:t>and</w:t>
      </w:r>
      <w:proofErr w:type="spellEnd"/>
      <w:r w:rsidRPr="002F7079">
        <w:rPr>
          <w:rFonts w:cstheme="minorHAnsi"/>
          <w:i/>
          <w:iCs/>
        </w:rPr>
        <w:t xml:space="preserve"> Meta-</w:t>
      </w:r>
      <w:proofErr w:type="spellStart"/>
      <w:r w:rsidRPr="002F7079">
        <w:rPr>
          <w:rFonts w:cstheme="minorHAnsi"/>
          <w:i/>
          <w:iCs/>
        </w:rPr>
        <w:t>analyses</w:t>
      </w:r>
      <w:proofErr w:type="spellEnd"/>
      <w:r w:rsidRPr="002F7079">
        <w:rPr>
          <w:rFonts w:cstheme="minorHAnsi"/>
          <w:i/>
          <w:iCs/>
        </w:rPr>
        <w:t xml:space="preserve"> </w:t>
      </w:r>
      <w:proofErr w:type="spellStart"/>
      <w:r w:rsidRPr="002F7079">
        <w:rPr>
          <w:rFonts w:cstheme="minorHAnsi"/>
          <w:i/>
          <w:iCs/>
        </w:rPr>
        <w:t>extension</w:t>
      </w:r>
      <w:proofErr w:type="spellEnd"/>
      <w:r w:rsidRPr="002F7079">
        <w:rPr>
          <w:rFonts w:cstheme="minorHAnsi"/>
          <w:i/>
          <w:iCs/>
        </w:rPr>
        <w:t xml:space="preserve"> for </w:t>
      </w:r>
      <w:proofErr w:type="spellStart"/>
      <w:r w:rsidRPr="002F7079">
        <w:rPr>
          <w:rFonts w:cstheme="minorHAnsi"/>
          <w:i/>
          <w:iCs/>
        </w:rPr>
        <w:t>scoping</w:t>
      </w:r>
      <w:proofErr w:type="spellEnd"/>
      <w:r w:rsidRPr="002F7079">
        <w:rPr>
          <w:rFonts w:cstheme="minorHAnsi"/>
          <w:i/>
          <w:iCs/>
        </w:rPr>
        <w:t xml:space="preserve"> </w:t>
      </w:r>
      <w:proofErr w:type="spellStart"/>
      <w:r w:rsidRPr="002F7079">
        <w:rPr>
          <w:rFonts w:cstheme="minorHAnsi"/>
          <w:i/>
          <w:iCs/>
        </w:rPr>
        <w:t>review</w:t>
      </w:r>
      <w:proofErr w:type="spellEnd"/>
      <w:r w:rsidRPr="002F7079">
        <w:rPr>
          <w:rFonts w:cstheme="minorHAnsi"/>
          <w:i/>
          <w:iCs/>
        </w:rPr>
        <w:t>)</w:t>
      </w:r>
      <w:r w:rsidRPr="002F7079">
        <w:rPr>
          <w:rFonts w:cstheme="minorHAnsi"/>
        </w:rPr>
        <w:t>(</w:t>
      </w:r>
      <w:proofErr w:type="spellStart"/>
      <w:r w:rsidRPr="002F7079">
        <w:rPr>
          <w:rFonts w:cstheme="minorHAnsi"/>
        </w:rPr>
        <w:t>Tricco</w:t>
      </w:r>
      <w:proofErr w:type="spellEnd"/>
      <w:r w:rsidRPr="002F7079">
        <w:rPr>
          <w:rFonts w:cstheme="minorHAnsi"/>
        </w:rPr>
        <w:t xml:space="preserve"> </w:t>
      </w:r>
      <w:proofErr w:type="spellStart"/>
      <w:r w:rsidRPr="002F7079">
        <w:rPr>
          <w:rFonts w:cstheme="minorHAnsi"/>
        </w:rPr>
        <w:t>et</w:t>
      </w:r>
      <w:proofErr w:type="spellEnd"/>
      <w:r w:rsidRPr="002F7079">
        <w:rPr>
          <w:rFonts w:cstheme="minorHAnsi"/>
        </w:rPr>
        <w:t xml:space="preserve"> al., 2018).</w:t>
      </w:r>
    </w:p>
    <w:p w14:paraId="7B4FD98C" w14:textId="28190225" w:rsidR="00517C2F" w:rsidRPr="002F7079" w:rsidRDefault="00AF0BBB" w:rsidP="00AF0BBB">
      <w:pPr>
        <w:spacing w:after="0" w:line="360" w:lineRule="auto"/>
        <w:jc w:val="center"/>
        <w:rPr>
          <w:rFonts w:cstheme="minorHAnsi"/>
        </w:rPr>
      </w:pPr>
      <w:r>
        <w:rPr>
          <w:noProof/>
        </w:rPr>
        <w:drawing>
          <wp:inline distT="0" distB="0" distL="0" distR="0" wp14:anchorId="627418FC" wp14:editId="2EF237DB">
            <wp:extent cx="4655820" cy="436561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0818" t="23311" r="30612" b="12401"/>
                    <a:stretch/>
                  </pic:blipFill>
                  <pic:spPr bwMode="auto">
                    <a:xfrm>
                      <a:off x="0" y="0"/>
                      <a:ext cx="4667145" cy="4376231"/>
                    </a:xfrm>
                    <a:prstGeom prst="rect">
                      <a:avLst/>
                    </a:prstGeom>
                    <a:ln>
                      <a:noFill/>
                    </a:ln>
                    <a:extLst>
                      <a:ext uri="{53640926-AAD7-44D8-BBD7-CCE9431645EC}">
                        <a14:shadowObscured xmlns:a14="http://schemas.microsoft.com/office/drawing/2010/main"/>
                      </a:ext>
                    </a:extLst>
                  </pic:spPr>
                </pic:pic>
              </a:graphicData>
            </a:graphic>
          </wp:inline>
        </w:drawing>
      </w:r>
    </w:p>
    <w:p w14:paraId="4E29B749" w14:textId="471252EF" w:rsidR="00EA7573" w:rsidRDefault="004F6933" w:rsidP="002F7079">
      <w:pPr>
        <w:spacing w:after="0" w:line="240" w:lineRule="auto"/>
        <w:jc w:val="both"/>
        <w:rPr>
          <w:rFonts w:cstheme="minorHAnsi"/>
        </w:rPr>
      </w:pPr>
      <w:r w:rsidRPr="002F7079">
        <w:rPr>
          <w:rFonts w:cstheme="minorHAnsi"/>
        </w:rPr>
        <w:t>Fig</w:t>
      </w:r>
      <w:r w:rsidR="006E76C7" w:rsidRPr="002F7079">
        <w:rPr>
          <w:rFonts w:cstheme="minorHAnsi"/>
        </w:rPr>
        <w:t xml:space="preserve">ura </w:t>
      </w:r>
      <w:r w:rsidRPr="002F7079">
        <w:rPr>
          <w:rFonts w:cstheme="minorHAnsi"/>
        </w:rPr>
        <w:t>1</w:t>
      </w:r>
    </w:p>
    <w:p w14:paraId="08C5915A" w14:textId="77777777" w:rsidR="00D969E8" w:rsidRPr="002F7079" w:rsidRDefault="00D969E8" w:rsidP="002F7079">
      <w:pPr>
        <w:spacing w:after="0" w:line="240" w:lineRule="auto"/>
        <w:jc w:val="both"/>
        <w:rPr>
          <w:rFonts w:cstheme="minorHAnsi"/>
        </w:rPr>
      </w:pPr>
    </w:p>
    <w:p w14:paraId="600F98EA" w14:textId="2FCD1E21" w:rsidR="004F6933" w:rsidRPr="002F7079" w:rsidRDefault="004F6933" w:rsidP="002F7079">
      <w:pPr>
        <w:spacing w:after="0" w:line="240" w:lineRule="auto"/>
        <w:jc w:val="both"/>
        <w:rPr>
          <w:rFonts w:cstheme="minorHAnsi"/>
        </w:rPr>
      </w:pPr>
      <w:r w:rsidRPr="002F7079">
        <w:rPr>
          <w:rFonts w:cstheme="minorHAnsi"/>
        </w:rPr>
        <w:t>Diagrama de fluxo de seleção dos artigos (adaptado de PRISMA-</w:t>
      </w:r>
      <w:proofErr w:type="spellStart"/>
      <w:r w:rsidRPr="002F7079">
        <w:rPr>
          <w:rFonts w:cstheme="minorHAnsi"/>
        </w:rPr>
        <w:t>ScR</w:t>
      </w:r>
      <w:proofErr w:type="spellEnd"/>
      <w:r w:rsidR="0069383C" w:rsidRPr="002F7079">
        <w:rPr>
          <w:rFonts w:cstheme="minorHAnsi"/>
        </w:rPr>
        <w:t>)</w:t>
      </w:r>
      <w:r w:rsidRPr="002F7079">
        <w:rPr>
          <w:rFonts w:cstheme="minorHAnsi"/>
        </w:rPr>
        <w:t xml:space="preserve"> (</w:t>
      </w:r>
      <w:proofErr w:type="spellStart"/>
      <w:r w:rsidRPr="002F7079">
        <w:rPr>
          <w:rFonts w:cstheme="minorHAnsi"/>
        </w:rPr>
        <w:t>Tricco</w:t>
      </w:r>
      <w:proofErr w:type="spellEnd"/>
      <w:r w:rsidRPr="002F7079">
        <w:rPr>
          <w:rFonts w:cstheme="minorHAnsi"/>
        </w:rPr>
        <w:t xml:space="preserve"> </w:t>
      </w:r>
      <w:proofErr w:type="spellStart"/>
      <w:r w:rsidRPr="002F7079">
        <w:rPr>
          <w:rFonts w:cstheme="minorHAnsi"/>
        </w:rPr>
        <w:t>et</w:t>
      </w:r>
      <w:proofErr w:type="spellEnd"/>
      <w:r w:rsidRPr="002F7079">
        <w:rPr>
          <w:rFonts w:cstheme="minorHAnsi"/>
        </w:rPr>
        <w:t xml:space="preserve"> al., 2018)</w:t>
      </w:r>
    </w:p>
    <w:p w14:paraId="27207371" w14:textId="77777777" w:rsidR="002F7079" w:rsidRPr="002F7079" w:rsidRDefault="002F7079" w:rsidP="00382212">
      <w:pPr>
        <w:spacing w:after="0" w:line="360" w:lineRule="auto"/>
        <w:jc w:val="both"/>
        <w:rPr>
          <w:rFonts w:cstheme="minorHAnsi"/>
        </w:rPr>
      </w:pPr>
    </w:p>
    <w:p w14:paraId="4EDB863F" w14:textId="08EB18F1" w:rsidR="006A05D4" w:rsidRPr="006A05D4" w:rsidRDefault="003C60D9" w:rsidP="006A05D4">
      <w:pPr>
        <w:pStyle w:val="Legenda"/>
        <w:spacing w:line="240" w:lineRule="auto"/>
        <w:ind w:left="-170" w:right="-170"/>
        <w:jc w:val="both"/>
        <w:rPr>
          <w:rFonts w:asciiTheme="minorHAnsi" w:hAnsiTheme="minorHAnsi" w:cstheme="minorHAnsi"/>
          <w:bCs w:val="0"/>
          <w:szCs w:val="22"/>
        </w:rPr>
      </w:pPr>
      <w:r w:rsidRPr="002F7079">
        <w:rPr>
          <w:rFonts w:asciiTheme="minorHAnsi" w:hAnsiTheme="minorHAnsi" w:cstheme="minorHAnsi"/>
          <w:bCs w:val="0"/>
          <w:szCs w:val="22"/>
        </w:rPr>
        <w:lastRenderedPageBreak/>
        <w:t>Tabela 1</w:t>
      </w:r>
    </w:p>
    <w:p w14:paraId="1599E4DC" w14:textId="738D7DB6" w:rsidR="003C60D9" w:rsidRPr="002F7079" w:rsidRDefault="003C60D9" w:rsidP="00711372">
      <w:pPr>
        <w:pStyle w:val="Legenda"/>
        <w:spacing w:after="120" w:line="240" w:lineRule="auto"/>
        <w:ind w:left="-170" w:right="-170"/>
        <w:jc w:val="both"/>
        <w:rPr>
          <w:rFonts w:asciiTheme="minorHAnsi" w:hAnsiTheme="minorHAnsi" w:cstheme="minorHAnsi"/>
          <w:bCs w:val="0"/>
          <w:szCs w:val="22"/>
        </w:rPr>
      </w:pPr>
      <w:r w:rsidRPr="002F7079">
        <w:rPr>
          <w:rFonts w:asciiTheme="minorHAnsi" w:hAnsiTheme="minorHAnsi" w:cstheme="minorHAnsi"/>
          <w:bCs w:val="0"/>
          <w:szCs w:val="22"/>
        </w:rPr>
        <w:t>Estudos selecionados</w:t>
      </w:r>
    </w:p>
    <w:tbl>
      <w:tblPr>
        <w:tblStyle w:val="TabelacomGrelha"/>
        <w:tblW w:w="10065" w:type="dxa"/>
        <w:tblInd w:w="-142" w:type="dxa"/>
        <w:tblBorders>
          <w:left w:val="none" w:sz="0" w:space="0" w:color="auto"/>
          <w:right w:val="none" w:sz="0" w:space="0" w:color="auto"/>
        </w:tblBorders>
        <w:tblLook w:val="04A0" w:firstRow="1" w:lastRow="0" w:firstColumn="1" w:lastColumn="0" w:noHBand="0" w:noVBand="1"/>
      </w:tblPr>
      <w:tblGrid>
        <w:gridCol w:w="790"/>
        <w:gridCol w:w="6368"/>
        <w:gridCol w:w="1521"/>
        <w:gridCol w:w="1386"/>
      </w:tblGrid>
      <w:tr w:rsidR="002F7079" w:rsidRPr="002F7079" w14:paraId="15D11633" w14:textId="0FE42704" w:rsidTr="002F7079">
        <w:trPr>
          <w:trHeight w:val="455"/>
        </w:trPr>
        <w:tc>
          <w:tcPr>
            <w:tcW w:w="568" w:type="dxa"/>
            <w:vAlign w:val="center"/>
          </w:tcPr>
          <w:p w14:paraId="67A8E9A0" w14:textId="77777777" w:rsidR="0038613F" w:rsidRPr="002F7079" w:rsidRDefault="0038613F" w:rsidP="00EA7573">
            <w:pPr>
              <w:jc w:val="center"/>
              <w:rPr>
                <w:rFonts w:cstheme="minorHAnsi"/>
                <w:sz w:val="18"/>
                <w:szCs w:val="18"/>
              </w:rPr>
            </w:pPr>
            <w:r w:rsidRPr="002F7079">
              <w:rPr>
                <w:rFonts w:cstheme="minorHAnsi"/>
                <w:sz w:val="18"/>
                <w:szCs w:val="18"/>
              </w:rPr>
              <w:t>Estudos</w:t>
            </w:r>
          </w:p>
          <w:p w14:paraId="561798A8" w14:textId="77777777" w:rsidR="0038613F" w:rsidRPr="002F7079" w:rsidRDefault="0038613F" w:rsidP="00EA7573">
            <w:pPr>
              <w:jc w:val="center"/>
              <w:rPr>
                <w:rFonts w:cstheme="minorHAnsi"/>
                <w:sz w:val="18"/>
                <w:szCs w:val="18"/>
              </w:rPr>
            </w:pPr>
            <w:r w:rsidRPr="002F7079">
              <w:rPr>
                <w:rFonts w:cstheme="minorHAnsi"/>
                <w:sz w:val="18"/>
                <w:szCs w:val="18"/>
              </w:rPr>
              <w:t xml:space="preserve"> (E)</w:t>
            </w:r>
          </w:p>
        </w:tc>
        <w:tc>
          <w:tcPr>
            <w:tcW w:w="6555" w:type="dxa"/>
            <w:vAlign w:val="center"/>
          </w:tcPr>
          <w:p w14:paraId="624856B2" w14:textId="77777777" w:rsidR="0038613F" w:rsidRPr="002F7079" w:rsidRDefault="0038613F" w:rsidP="00EA7573">
            <w:pPr>
              <w:jc w:val="center"/>
              <w:rPr>
                <w:rFonts w:cstheme="minorHAnsi"/>
                <w:sz w:val="18"/>
                <w:szCs w:val="18"/>
              </w:rPr>
            </w:pPr>
            <w:r w:rsidRPr="002F7079">
              <w:rPr>
                <w:rFonts w:cstheme="minorHAnsi"/>
                <w:sz w:val="18"/>
                <w:szCs w:val="18"/>
              </w:rPr>
              <w:t>Título</w:t>
            </w:r>
          </w:p>
        </w:tc>
        <w:tc>
          <w:tcPr>
            <w:tcW w:w="1540" w:type="dxa"/>
            <w:vAlign w:val="center"/>
          </w:tcPr>
          <w:p w14:paraId="0C32D990" w14:textId="77777777" w:rsidR="0038613F" w:rsidRPr="002F7079" w:rsidRDefault="0038613F" w:rsidP="00EA7573">
            <w:pPr>
              <w:jc w:val="center"/>
              <w:rPr>
                <w:rFonts w:cstheme="minorHAnsi"/>
                <w:sz w:val="18"/>
                <w:szCs w:val="18"/>
              </w:rPr>
            </w:pPr>
            <w:r w:rsidRPr="002F7079">
              <w:rPr>
                <w:rFonts w:cstheme="minorHAnsi"/>
                <w:sz w:val="18"/>
                <w:szCs w:val="18"/>
              </w:rPr>
              <w:t>Autor (</w:t>
            </w:r>
            <w:proofErr w:type="spellStart"/>
            <w:r w:rsidRPr="002F7079">
              <w:rPr>
                <w:rFonts w:cstheme="minorHAnsi"/>
                <w:sz w:val="18"/>
                <w:szCs w:val="18"/>
              </w:rPr>
              <w:t>es</w:t>
            </w:r>
            <w:proofErr w:type="spellEnd"/>
            <w:r w:rsidRPr="002F7079">
              <w:rPr>
                <w:rFonts w:cstheme="minorHAnsi"/>
                <w:sz w:val="18"/>
                <w:szCs w:val="18"/>
              </w:rPr>
              <w:t>)</w:t>
            </w:r>
          </w:p>
        </w:tc>
        <w:tc>
          <w:tcPr>
            <w:tcW w:w="1402" w:type="dxa"/>
            <w:vAlign w:val="center"/>
          </w:tcPr>
          <w:p w14:paraId="3EB972E9" w14:textId="4AB45A7E" w:rsidR="0038613F" w:rsidRPr="002F7079" w:rsidRDefault="0038613F" w:rsidP="00EA7573">
            <w:pPr>
              <w:jc w:val="center"/>
              <w:rPr>
                <w:rFonts w:cstheme="minorHAnsi"/>
                <w:sz w:val="18"/>
                <w:szCs w:val="18"/>
              </w:rPr>
            </w:pPr>
            <w:r w:rsidRPr="002F7079">
              <w:rPr>
                <w:rFonts w:cstheme="minorHAnsi"/>
                <w:sz w:val="18"/>
                <w:szCs w:val="18"/>
              </w:rPr>
              <w:t>País</w:t>
            </w:r>
          </w:p>
        </w:tc>
      </w:tr>
      <w:tr w:rsidR="002F7079" w:rsidRPr="002F7079" w14:paraId="39980D24" w14:textId="6B7A1FCC" w:rsidTr="002F7079">
        <w:trPr>
          <w:trHeight w:val="487"/>
        </w:trPr>
        <w:tc>
          <w:tcPr>
            <w:tcW w:w="568" w:type="dxa"/>
            <w:vAlign w:val="center"/>
          </w:tcPr>
          <w:p w14:paraId="114D4E70" w14:textId="77777777" w:rsidR="0038613F" w:rsidRPr="002F7079" w:rsidRDefault="0038613F" w:rsidP="00EA7573">
            <w:pPr>
              <w:jc w:val="center"/>
              <w:rPr>
                <w:rFonts w:cstheme="minorHAnsi"/>
                <w:sz w:val="18"/>
                <w:szCs w:val="18"/>
              </w:rPr>
            </w:pPr>
            <w:r w:rsidRPr="002F7079">
              <w:rPr>
                <w:rFonts w:cstheme="minorHAnsi"/>
                <w:sz w:val="18"/>
                <w:szCs w:val="18"/>
              </w:rPr>
              <w:t>E1</w:t>
            </w:r>
          </w:p>
        </w:tc>
        <w:tc>
          <w:tcPr>
            <w:tcW w:w="6555" w:type="dxa"/>
          </w:tcPr>
          <w:p w14:paraId="5DC6E318" w14:textId="77777777" w:rsidR="0038613F" w:rsidRPr="002F7079" w:rsidRDefault="0038613F" w:rsidP="00EA7573">
            <w:pPr>
              <w:autoSpaceDE w:val="0"/>
              <w:autoSpaceDN w:val="0"/>
              <w:adjustRightInd w:val="0"/>
              <w:ind w:left="-104"/>
              <w:rPr>
                <w:rFonts w:cstheme="minorHAnsi"/>
                <w:i/>
                <w:iCs/>
                <w:sz w:val="18"/>
                <w:szCs w:val="18"/>
                <w:lang w:val="en-US"/>
              </w:rPr>
            </w:pPr>
            <w:r w:rsidRPr="002F7079">
              <w:rPr>
                <w:rFonts w:cstheme="minorHAnsi"/>
                <w:i/>
                <w:iCs/>
                <w:sz w:val="18"/>
                <w:szCs w:val="18"/>
                <w:lang w:val="en-US"/>
              </w:rPr>
              <w:t>“Age as a risk factor for surgical site infections: German surveillance data on total hip replacement and total knee replacement procedures 2009 to 2018”</w:t>
            </w:r>
          </w:p>
        </w:tc>
        <w:tc>
          <w:tcPr>
            <w:tcW w:w="1540" w:type="dxa"/>
          </w:tcPr>
          <w:p w14:paraId="320309B4"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(Bischoff et al, 2023)</w:t>
            </w:r>
          </w:p>
        </w:tc>
        <w:tc>
          <w:tcPr>
            <w:tcW w:w="1402" w:type="dxa"/>
            <w:vAlign w:val="center"/>
          </w:tcPr>
          <w:p w14:paraId="4722B611" w14:textId="065CFAEC" w:rsidR="0038613F" w:rsidRPr="002F7079" w:rsidRDefault="0038613F" w:rsidP="00EA7573">
            <w:pPr>
              <w:jc w:val="center"/>
              <w:rPr>
                <w:rFonts w:cstheme="minorHAnsi"/>
                <w:sz w:val="18"/>
                <w:szCs w:val="18"/>
                <w:lang w:val="en-US"/>
              </w:rPr>
            </w:pPr>
            <w:proofErr w:type="spellStart"/>
            <w:r w:rsidRPr="002F7079">
              <w:rPr>
                <w:rFonts w:cstheme="minorHAnsi"/>
                <w:sz w:val="18"/>
                <w:szCs w:val="18"/>
                <w:lang w:val="en-US"/>
              </w:rPr>
              <w:t>Alemanha</w:t>
            </w:r>
            <w:proofErr w:type="spellEnd"/>
          </w:p>
        </w:tc>
      </w:tr>
      <w:tr w:rsidR="002F7079" w:rsidRPr="002F7079" w14:paraId="2F235141" w14:textId="19AF85D1" w:rsidTr="002F7079">
        <w:tc>
          <w:tcPr>
            <w:tcW w:w="568" w:type="dxa"/>
            <w:vAlign w:val="center"/>
          </w:tcPr>
          <w:p w14:paraId="193CF440" w14:textId="77777777" w:rsidR="0038613F" w:rsidRPr="002F7079" w:rsidRDefault="0038613F" w:rsidP="00EA7573">
            <w:pPr>
              <w:jc w:val="center"/>
              <w:rPr>
                <w:rFonts w:cstheme="minorHAnsi"/>
                <w:sz w:val="18"/>
                <w:szCs w:val="18"/>
              </w:rPr>
            </w:pPr>
            <w:r w:rsidRPr="002F7079">
              <w:rPr>
                <w:rFonts w:cstheme="minorHAnsi"/>
                <w:sz w:val="18"/>
                <w:szCs w:val="18"/>
              </w:rPr>
              <w:t>E2</w:t>
            </w:r>
          </w:p>
        </w:tc>
        <w:tc>
          <w:tcPr>
            <w:tcW w:w="6555" w:type="dxa"/>
          </w:tcPr>
          <w:p w14:paraId="5272EA61"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“Albumin, Prealbumin, and Transferrin May Be Predictive of Wound Complications following Total Knee Arthroplasty”</w:t>
            </w:r>
          </w:p>
        </w:tc>
        <w:tc>
          <w:tcPr>
            <w:tcW w:w="1540" w:type="dxa"/>
          </w:tcPr>
          <w:p w14:paraId="1D966EBF"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(Roche et al, 2018)</w:t>
            </w:r>
          </w:p>
        </w:tc>
        <w:tc>
          <w:tcPr>
            <w:tcW w:w="1402" w:type="dxa"/>
            <w:vAlign w:val="center"/>
          </w:tcPr>
          <w:p w14:paraId="7DAD5C05" w14:textId="366208DE" w:rsidR="0038613F" w:rsidRPr="002F7079" w:rsidRDefault="0038613F" w:rsidP="00EA7573">
            <w:pPr>
              <w:jc w:val="center"/>
              <w:rPr>
                <w:rFonts w:cstheme="minorHAnsi"/>
                <w:sz w:val="18"/>
                <w:szCs w:val="18"/>
              </w:rPr>
            </w:pPr>
            <w:r w:rsidRPr="002F7079">
              <w:rPr>
                <w:rFonts w:cstheme="minorHAnsi"/>
                <w:sz w:val="18"/>
                <w:szCs w:val="18"/>
              </w:rPr>
              <w:t>Estados Unidos da América</w:t>
            </w:r>
            <w:r w:rsidR="00F8586F" w:rsidRPr="002F7079">
              <w:rPr>
                <w:rFonts w:cstheme="minorHAnsi"/>
                <w:sz w:val="18"/>
                <w:szCs w:val="18"/>
              </w:rPr>
              <w:t xml:space="preserve"> (</w:t>
            </w:r>
            <w:r w:rsidR="00096120" w:rsidRPr="002F7079">
              <w:rPr>
                <w:rFonts w:cstheme="minorHAnsi"/>
                <w:sz w:val="18"/>
                <w:szCs w:val="18"/>
              </w:rPr>
              <w:t>EUA</w:t>
            </w:r>
            <w:r w:rsidR="00F8586F" w:rsidRPr="002F7079">
              <w:rPr>
                <w:rFonts w:cstheme="minorHAnsi"/>
                <w:sz w:val="18"/>
                <w:szCs w:val="18"/>
              </w:rPr>
              <w:t>)</w:t>
            </w:r>
          </w:p>
        </w:tc>
      </w:tr>
      <w:tr w:rsidR="002F7079" w:rsidRPr="002F7079" w14:paraId="76F4CF52" w14:textId="7EB01563" w:rsidTr="002F7079">
        <w:tc>
          <w:tcPr>
            <w:tcW w:w="568" w:type="dxa"/>
            <w:vAlign w:val="center"/>
          </w:tcPr>
          <w:p w14:paraId="78F10978" w14:textId="77777777" w:rsidR="0038613F" w:rsidRPr="002F7079" w:rsidRDefault="0038613F" w:rsidP="00EA7573">
            <w:pPr>
              <w:jc w:val="center"/>
              <w:rPr>
                <w:rFonts w:cstheme="minorHAnsi"/>
                <w:sz w:val="18"/>
                <w:szCs w:val="18"/>
              </w:rPr>
            </w:pPr>
            <w:r w:rsidRPr="002F7079">
              <w:rPr>
                <w:rFonts w:cstheme="minorHAnsi"/>
                <w:sz w:val="18"/>
                <w:szCs w:val="18"/>
              </w:rPr>
              <w:t>E3</w:t>
            </w:r>
          </w:p>
        </w:tc>
        <w:tc>
          <w:tcPr>
            <w:tcW w:w="6555" w:type="dxa"/>
          </w:tcPr>
          <w:p w14:paraId="52053F26"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“Assessment of Predictors of Infection in Primary Knee and Hip Arthroplasty: A Case-control Study”</w:t>
            </w:r>
          </w:p>
        </w:tc>
        <w:tc>
          <w:tcPr>
            <w:tcW w:w="1540" w:type="dxa"/>
          </w:tcPr>
          <w:p w14:paraId="2E5466B4" w14:textId="77777777" w:rsidR="0038613F" w:rsidRPr="002F7079" w:rsidRDefault="0038613F" w:rsidP="00EA7573">
            <w:pPr>
              <w:jc w:val="center"/>
              <w:rPr>
                <w:rFonts w:cstheme="minorHAnsi"/>
                <w:sz w:val="18"/>
                <w:szCs w:val="18"/>
              </w:rPr>
            </w:pPr>
            <w:r w:rsidRPr="002F7079">
              <w:rPr>
                <w:rFonts w:cstheme="minorHAnsi"/>
                <w:sz w:val="18"/>
                <w:szCs w:val="18"/>
              </w:rPr>
              <w:t>(</w:t>
            </w:r>
            <w:proofErr w:type="spellStart"/>
            <w:r w:rsidRPr="002F7079">
              <w:rPr>
                <w:rFonts w:cstheme="minorHAnsi"/>
                <w:sz w:val="18"/>
                <w:szCs w:val="18"/>
              </w:rPr>
              <w:t>Falótico</w:t>
            </w:r>
            <w:proofErr w:type="spellEnd"/>
            <w:r w:rsidRPr="002F7079">
              <w:rPr>
                <w:rFonts w:cstheme="minorHAnsi"/>
                <w:sz w:val="18"/>
                <w:szCs w:val="18"/>
              </w:rPr>
              <w:t xml:space="preserve"> </w:t>
            </w:r>
            <w:proofErr w:type="spellStart"/>
            <w:r w:rsidRPr="002F7079">
              <w:rPr>
                <w:rFonts w:cstheme="minorHAnsi"/>
                <w:sz w:val="18"/>
                <w:szCs w:val="18"/>
              </w:rPr>
              <w:t>et</w:t>
            </w:r>
            <w:proofErr w:type="spellEnd"/>
            <w:r w:rsidRPr="002F7079">
              <w:rPr>
                <w:rFonts w:cstheme="minorHAnsi"/>
                <w:sz w:val="18"/>
                <w:szCs w:val="18"/>
              </w:rPr>
              <w:t xml:space="preserve"> al, 2022)</w:t>
            </w:r>
          </w:p>
        </w:tc>
        <w:tc>
          <w:tcPr>
            <w:tcW w:w="1402" w:type="dxa"/>
            <w:vAlign w:val="center"/>
          </w:tcPr>
          <w:p w14:paraId="4431749F" w14:textId="261E1208" w:rsidR="0038613F" w:rsidRPr="002F7079" w:rsidRDefault="0038613F" w:rsidP="00EA7573">
            <w:pPr>
              <w:jc w:val="center"/>
              <w:rPr>
                <w:rFonts w:cstheme="minorHAnsi"/>
                <w:sz w:val="18"/>
                <w:szCs w:val="18"/>
              </w:rPr>
            </w:pPr>
            <w:r w:rsidRPr="002F7079">
              <w:rPr>
                <w:rFonts w:cstheme="minorHAnsi"/>
                <w:sz w:val="18"/>
                <w:szCs w:val="18"/>
              </w:rPr>
              <w:t>Brasil</w:t>
            </w:r>
          </w:p>
        </w:tc>
      </w:tr>
      <w:tr w:rsidR="002F7079" w:rsidRPr="002F7079" w14:paraId="4FDC4591" w14:textId="3853C2C4" w:rsidTr="002F7079">
        <w:tc>
          <w:tcPr>
            <w:tcW w:w="568" w:type="dxa"/>
            <w:vAlign w:val="center"/>
          </w:tcPr>
          <w:p w14:paraId="28C26504" w14:textId="77777777" w:rsidR="0038613F" w:rsidRPr="002F7079" w:rsidRDefault="0038613F" w:rsidP="00EA7573">
            <w:pPr>
              <w:jc w:val="center"/>
              <w:rPr>
                <w:rFonts w:cstheme="minorHAnsi"/>
                <w:sz w:val="18"/>
                <w:szCs w:val="18"/>
              </w:rPr>
            </w:pPr>
            <w:r w:rsidRPr="002F7079">
              <w:rPr>
                <w:rFonts w:cstheme="minorHAnsi"/>
                <w:sz w:val="18"/>
                <w:szCs w:val="18"/>
              </w:rPr>
              <w:t>E4</w:t>
            </w:r>
          </w:p>
        </w:tc>
        <w:tc>
          <w:tcPr>
            <w:tcW w:w="6555" w:type="dxa"/>
          </w:tcPr>
          <w:p w14:paraId="44AA1768"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“Better Operating Room Ventilation as Determined by a Novel Ventilation Index is Associated with Lower Rates of Surgical Site Infections”</w:t>
            </w:r>
          </w:p>
        </w:tc>
        <w:tc>
          <w:tcPr>
            <w:tcW w:w="1540" w:type="dxa"/>
          </w:tcPr>
          <w:p w14:paraId="4C50B929"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w:t>
            </w:r>
            <w:proofErr w:type="spellStart"/>
            <w:r w:rsidRPr="002F7079">
              <w:rPr>
                <w:rFonts w:cstheme="minorHAnsi"/>
                <w:sz w:val="18"/>
                <w:szCs w:val="18"/>
                <w:lang w:val="en-US"/>
              </w:rPr>
              <w:t>Surial</w:t>
            </w:r>
            <w:proofErr w:type="spellEnd"/>
            <w:r w:rsidRPr="002F7079">
              <w:rPr>
                <w:rFonts w:cstheme="minorHAnsi"/>
                <w:sz w:val="18"/>
                <w:szCs w:val="18"/>
                <w:lang w:val="en-US"/>
              </w:rPr>
              <w:t xml:space="preserve"> et al, 2022)</w:t>
            </w:r>
          </w:p>
        </w:tc>
        <w:tc>
          <w:tcPr>
            <w:tcW w:w="1402" w:type="dxa"/>
            <w:vAlign w:val="center"/>
          </w:tcPr>
          <w:p w14:paraId="0063AC3A" w14:textId="12DD7F25" w:rsidR="0038613F" w:rsidRPr="002F7079" w:rsidRDefault="0038613F" w:rsidP="00EA7573">
            <w:pPr>
              <w:jc w:val="center"/>
              <w:rPr>
                <w:rFonts w:cstheme="minorHAnsi"/>
                <w:sz w:val="18"/>
                <w:szCs w:val="18"/>
                <w:lang w:val="en-US"/>
              </w:rPr>
            </w:pPr>
            <w:proofErr w:type="spellStart"/>
            <w:r w:rsidRPr="002F7079">
              <w:rPr>
                <w:rFonts w:cstheme="minorHAnsi"/>
                <w:sz w:val="18"/>
                <w:szCs w:val="18"/>
                <w:lang w:val="en-US"/>
              </w:rPr>
              <w:t>Suiça</w:t>
            </w:r>
            <w:proofErr w:type="spellEnd"/>
          </w:p>
        </w:tc>
      </w:tr>
      <w:tr w:rsidR="002F7079" w:rsidRPr="002F7079" w14:paraId="0AF36902" w14:textId="0AD2EA71" w:rsidTr="002F7079">
        <w:trPr>
          <w:trHeight w:val="490"/>
        </w:trPr>
        <w:tc>
          <w:tcPr>
            <w:tcW w:w="568" w:type="dxa"/>
            <w:vAlign w:val="center"/>
          </w:tcPr>
          <w:p w14:paraId="5065A630" w14:textId="77777777" w:rsidR="0038613F" w:rsidRPr="002F7079" w:rsidRDefault="0038613F" w:rsidP="00EA7573">
            <w:pPr>
              <w:jc w:val="center"/>
              <w:rPr>
                <w:rFonts w:cstheme="minorHAnsi"/>
                <w:sz w:val="18"/>
                <w:szCs w:val="18"/>
              </w:rPr>
            </w:pPr>
            <w:r w:rsidRPr="002F7079">
              <w:rPr>
                <w:rFonts w:cstheme="minorHAnsi"/>
                <w:sz w:val="18"/>
                <w:szCs w:val="18"/>
              </w:rPr>
              <w:t>E5</w:t>
            </w:r>
          </w:p>
        </w:tc>
        <w:tc>
          <w:tcPr>
            <w:tcW w:w="6555" w:type="dxa"/>
          </w:tcPr>
          <w:p w14:paraId="66A56976"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“Central sensitization is a risk factor for wound complications after primary total knee arthroplasty”</w:t>
            </w:r>
          </w:p>
        </w:tc>
        <w:tc>
          <w:tcPr>
            <w:tcW w:w="1540" w:type="dxa"/>
          </w:tcPr>
          <w:p w14:paraId="72CBAE87"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(Kim et al, 2018)</w:t>
            </w:r>
          </w:p>
        </w:tc>
        <w:tc>
          <w:tcPr>
            <w:tcW w:w="1402" w:type="dxa"/>
            <w:vAlign w:val="center"/>
          </w:tcPr>
          <w:p w14:paraId="58789B76" w14:textId="27CCCD49" w:rsidR="0038613F" w:rsidRPr="002F7079" w:rsidRDefault="0038613F" w:rsidP="00EA7573">
            <w:pPr>
              <w:jc w:val="center"/>
              <w:rPr>
                <w:rFonts w:cstheme="minorHAnsi"/>
                <w:sz w:val="18"/>
                <w:szCs w:val="18"/>
                <w:lang w:val="en-US"/>
              </w:rPr>
            </w:pPr>
            <w:proofErr w:type="spellStart"/>
            <w:r w:rsidRPr="002F7079">
              <w:rPr>
                <w:rFonts w:cstheme="minorHAnsi"/>
                <w:sz w:val="18"/>
                <w:szCs w:val="18"/>
                <w:lang w:val="en-US"/>
              </w:rPr>
              <w:t>Coreia</w:t>
            </w:r>
            <w:proofErr w:type="spellEnd"/>
            <w:r w:rsidR="00F8586F" w:rsidRPr="002F7079">
              <w:rPr>
                <w:rFonts w:cstheme="minorHAnsi"/>
                <w:sz w:val="18"/>
                <w:szCs w:val="18"/>
                <w:lang w:val="en-US"/>
              </w:rPr>
              <w:t xml:space="preserve"> do Sul</w:t>
            </w:r>
          </w:p>
        </w:tc>
      </w:tr>
      <w:tr w:rsidR="002F7079" w:rsidRPr="002F7079" w14:paraId="5D33E1BF" w14:textId="25F0DEBE" w:rsidTr="002F7079">
        <w:tc>
          <w:tcPr>
            <w:tcW w:w="568" w:type="dxa"/>
            <w:vAlign w:val="center"/>
          </w:tcPr>
          <w:p w14:paraId="37101DDC" w14:textId="77777777" w:rsidR="0038613F" w:rsidRPr="002F7079" w:rsidRDefault="0038613F" w:rsidP="00EA7573">
            <w:pPr>
              <w:jc w:val="center"/>
              <w:rPr>
                <w:rFonts w:cstheme="minorHAnsi"/>
                <w:sz w:val="18"/>
                <w:szCs w:val="18"/>
              </w:rPr>
            </w:pPr>
            <w:r w:rsidRPr="002F7079">
              <w:rPr>
                <w:rFonts w:cstheme="minorHAnsi"/>
                <w:sz w:val="18"/>
                <w:szCs w:val="18"/>
              </w:rPr>
              <w:t>E6</w:t>
            </w:r>
          </w:p>
        </w:tc>
        <w:tc>
          <w:tcPr>
            <w:tcW w:w="6555" w:type="dxa"/>
          </w:tcPr>
          <w:p w14:paraId="00565A3E"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“History of Diabetic Foot Ulcer is Associated with Increased Risk of Prosthetic Joint Infection and Sepsis After Total Joint Arthroplasty”</w:t>
            </w:r>
          </w:p>
        </w:tc>
        <w:tc>
          <w:tcPr>
            <w:tcW w:w="1540" w:type="dxa"/>
          </w:tcPr>
          <w:p w14:paraId="0BD09D6C" w14:textId="77777777" w:rsidR="0038613F" w:rsidRPr="002F7079" w:rsidRDefault="0038613F" w:rsidP="00EA7573">
            <w:pPr>
              <w:jc w:val="center"/>
              <w:rPr>
                <w:rFonts w:cstheme="minorHAnsi"/>
                <w:sz w:val="18"/>
                <w:szCs w:val="18"/>
                <w:lang w:val="en-US"/>
              </w:rPr>
            </w:pPr>
            <w:r w:rsidRPr="002F7079">
              <w:rPr>
                <w:rFonts w:cstheme="minorHAnsi"/>
                <w:sz w:val="18"/>
                <w:szCs w:val="18"/>
              </w:rPr>
              <w:t>(</w:t>
            </w:r>
            <w:proofErr w:type="spellStart"/>
            <w:r w:rsidRPr="002F7079">
              <w:rPr>
                <w:rFonts w:cstheme="minorHAnsi"/>
                <w:sz w:val="18"/>
                <w:szCs w:val="18"/>
              </w:rPr>
              <w:t>Magruder</w:t>
            </w:r>
            <w:proofErr w:type="spellEnd"/>
            <w:r w:rsidRPr="002F7079">
              <w:rPr>
                <w:rFonts w:cstheme="minorHAnsi"/>
                <w:sz w:val="18"/>
                <w:szCs w:val="18"/>
              </w:rPr>
              <w:t xml:space="preserve"> </w:t>
            </w:r>
            <w:proofErr w:type="spellStart"/>
            <w:r w:rsidRPr="002F7079">
              <w:rPr>
                <w:rFonts w:cstheme="minorHAnsi"/>
                <w:sz w:val="18"/>
                <w:szCs w:val="18"/>
              </w:rPr>
              <w:t>et</w:t>
            </w:r>
            <w:proofErr w:type="spellEnd"/>
            <w:r w:rsidRPr="002F7079">
              <w:rPr>
                <w:rFonts w:cstheme="minorHAnsi"/>
                <w:sz w:val="18"/>
                <w:szCs w:val="18"/>
              </w:rPr>
              <w:t xml:space="preserve"> al, 2024)</w:t>
            </w:r>
          </w:p>
        </w:tc>
        <w:tc>
          <w:tcPr>
            <w:tcW w:w="1402" w:type="dxa"/>
            <w:vAlign w:val="center"/>
          </w:tcPr>
          <w:p w14:paraId="249DE442" w14:textId="5BF01534" w:rsidR="0038613F" w:rsidRPr="002F7079" w:rsidRDefault="00F8586F" w:rsidP="00EA7573">
            <w:pPr>
              <w:jc w:val="center"/>
              <w:rPr>
                <w:rFonts w:cstheme="minorHAnsi"/>
                <w:sz w:val="18"/>
                <w:szCs w:val="18"/>
              </w:rPr>
            </w:pPr>
            <w:r w:rsidRPr="002F7079">
              <w:rPr>
                <w:rFonts w:cstheme="minorHAnsi"/>
                <w:sz w:val="18"/>
                <w:szCs w:val="18"/>
              </w:rPr>
              <w:t>Indiana (</w:t>
            </w:r>
            <w:r w:rsidR="00096120" w:rsidRPr="002F7079">
              <w:rPr>
                <w:rFonts w:cstheme="minorHAnsi"/>
                <w:sz w:val="18"/>
                <w:szCs w:val="18"/>
              </w:rPr>
              <w:t>EUA</w:t>
            </w:r>
            <w:r w:rsidRPr="002F7079">
              <w:rPr>
                <w:rFonts w:cstheme="minorHAnsi"/>
                <w:sz w:val="18"/>
                <w:szCs w:val="18"/>
              </w:rPr>
              <w:t>)</w:t>
            </w:r>
          </w:p>
        </w:tc>
      </w:tr>
      <w:tr w:rsidR="002F7079" w:rsidRPr="002F7079" w14:paraId="0B36497C" w14:textId="584A8B85" w:rsidTr="002F7079">
        <w:tc>
          <w:tcPr>
            <w:tcW w:w="568" w:type="dxa"/>
            <w:vAlign w:val="center"/>
          </w:tcPr>
          <w:p w14:paraId="2A68365E" w14:textId="77777777" w:rsidR="0038613F" w:rsidRPr="002F7079" w:rsidRDefault="0038613F" w:rsidP="00EA7573">
            <w:pPr>
              <w:jc w:val="center"/>
              <w:rPr>
                <w:rFonts w:cstheme="minorHAnsi"/>
                <w:sz w:val="18"/>
                <w:szCs w:val="18"/>
              </w:rPr>
            </w:pPr>
            <w:r w:rsidRPr="002F7079">
              <w:rPr>
                <w:rFonts w:cstheme="minorHAnsi"/>
                <w:sz w:val="18"/>
                <w:szCs w:val="18"/>
              </w:rPr>
              <w:t>E7</w:t>
            </w:r>
          </w:p>
        </w:tc>
        <w:tc>
          <w:tcPr>
            <w:tcW w:w="6555" w:type="dxa"/>
          </w:tcPr>
          <w:p w14:paraId="7AFA8478"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“Impact of Operative Time on Adverse Events Following Primary Total Joint Arthroplasty”</w:t>
            </w:r>
          </w:p>
        </w:tc>
        <w:tc>
          <w:tcPr>
            <w:tcW w:w="1540" w:type="dxa"/>
          </w:tcPr>
          <w:p w14:paraId="77B8E501"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(Bohl et al, 2018)</w:t>
            </w:r>
          </w:p>
        </w:tc>
        <w:tc>
          <w:tcPr>
            <w:tcW w:w="1402" w:type="dxa"/>
            <w:vAlign w:val="center"/>
          </w:tcPr>
          <w:p w14:paraId="3ED75B76" w14:textId="1FF5BB16" w:rsidR="0038613F"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1CBB49FC" w14:textId="66DC9827" w:rsidTr="002F7079">
        <w:tc>
          <w:tcPr>
            <w:tcW w:w="568" w:type="dxa"/>
            <w:vAlign w:val="center"/>
          </w:tcPr>
          <w:p w14:paraId="3CADBFBD" w14:textId="77777777" w:rsidR="0038613F" w:rsidRPr="002F7079" w:rsidRDefault="0038613F" w:rsidP="00EA7573">
            <w:pPr>
              <w:jc w:val="center"/>
              <w:rPr>
                <w:rFonts w:cstheme="minorHAnsi"/>
                <w:sz w:val="18"/>
                <w:szCs w:val="18"/>
              </w:rPr>
            </w:pPr>
            <w:r w:rsidRPr="002F7079">
              <w:rPr>
                <w:rFonts w:cstheme="minorHAnsi"/>
                <w:sz w:val="18"/>
                <w:szCs w:val="18"/>
              </w:rPr>
              <w:t>E8</w:t>
            </w:r>
          </w:p>
        </w:tc>
        <w:tc>
          <w:tcPr>
            <w:tcW w:w="6555" w:type="dxa"/>
          </w:tcPr>
          <w:p w14:paraId="70A17725"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“Impact of patient comorbidities on surgical site infection within 90 days of primary and revision joint (hip and knee) replacement”</w:t>
            </w:r>
          </w:p>
        </w:tc>
        <w:tc>
          <w:tcPr>
            <w:tcW w:w="1540" w:type="dxa"/>
          </w:tcPr>
          <w:p w14:paraId="7D64BD33"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(Edmiston Jr. et al, 2019)</w:t>
            </w:r>
          </w:p>
        </w:tc>
        <w:tc>
          <w:tcPr>
            <w:tcW w:w="1402" w:type="dxa"/>
            <w:vAlign w:val="center"/>
          </w:tcPr>
          <w:p w14:paraId="37C60BA7" w14:textId="58C9F7A0" w:rsidR="0038613F"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4647411E" w14:textId="43B9C655" w:rsidTr="002F7079">
        <w:trPr>
          <w:trHeight w:val="474"/>
        </w:trPr>
        <w:tc>
          <w:tcPr>
            <w:tcW w:w="568" w:type="dxa"/>
            <w:vAlign w:val="center"/>
          </w:tcPr>
          <w:p w14:paraId="58121725" w14:textId="77777777" w:rsidR="0038613F" w:rsidRPr="002F7079" w:rsidRDefault="0038613F" w:rsidP="00EA7573">
            <w:pPr>
              <w:jc w:val="center"/>
              <w:rPr>
                <w:rFonts w:cstheme="minorHAnsi"/>
                <w:sz w:val="18"/>
                <w:szCs w:val="18"/>
              </w:rPr>
            </w:pPr>
            <w:r w:rsidRPr="002F7079">
              <w:rPr>
                <w:rFonts w:cstheme="minorHAnsi"/>
                <w:sz w:val="18"/>
                <w:szCs w:val="18"/>
              </w:rPr>
              <w:t>E9</w:t>
            </w:r>
          </w:p>
        </w:tc>
        <w:tc>
          <w:tcPr>
            <w:tcW w:w="6555" w:type="dxa"/>
          </w:tcPr>
          <w:p w14:paraId="490ED509"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“Impact of Perioperative Urinary Tract Infection on Surgical Site Infection in Patients Undergoing Primary Hip and Knee Arthroplasty”</w:t>
            </w:r>
          </w:p>
        </w:tc>
        <w:tc>
          <w:tcPr>
            <w:tcW w:w="1540" w:type="dxa"/>
          </w:tcPr>
          <w:p w14:paraId="590F9801"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(Schmitt et al, 2020)</w:t>
            </w:r>
          </w:p>
        </w:tc>
        <w:tc>
          <w:tcPr>
            <w:tcW w:w="1402" w:type="dxa"/>
            <w:vAlign w:val="center"/>
          </w:tcPr>
          <w:p w14:paraId="48FA7B5A" w14:textId="0BA9D632" w:rsidR="0038613F"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3D5A3A10" w14:textId="4C5B08AE" w:rsidTr="002F7079">
        <w:tc>
          <w:tcPr>
            <w:tcW w:w="568" w:type="dxa"/>
            <w:vAlign w:val="center"/>
          </w:tcPr>
          <w:p w14:paraId="369A052C" w14:textId="77777777" w:rsidR="0038613F" w:rsidRPr="002F7079" w:rsidRDefault="0038613F" w:rsidP="00EA7573">
            <w:pPr>
              <w:jc w:val="center"/>
              <w:rPr>
                <w:rFonts w:cstheme="minorHAnsi"/>
                <w:sz w:val="18"/>
                <w:szCs w:val="18"/>
              </w:rPr>
            </w:pPr>
            <w:r w:rsidRPr="002F7079">
              <w:rPr>
                <w:rFonts w:cstheme="minorHAnsi"/>
                <w:sz w:val="18"/>
                <w:szCs w:val="18"/>
              </w:rPr>
              <w:t>E10</w:t>
            </w:r>
          </w:p>
        </w:tc>
        <w:tc>
          <w:tcPr>
            <w:tcW w:w="6555" w:type="dxa"/>
          </w:tcPr>
          <w:p w14:paraId="4DC54AB1"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“Incidence and Risk Factors of 30-Day Surgical Site Infection after Primary Total Joint Arthroplasty in a Middle-Income Country: A Single-Center Experience”</w:t>
            </w:r>
          </w:p>
        </w:tc>
        <w:tc>
          <w:tcPr>
            <w:tcW w:w="1540" w:type="dxa"/>
          </w:tcPr>
          <w:p w14:paraId="24CF3CBF"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(Marusic et al, 2021)</w:t>
            </w:r>
          </w:p>
        </w:tc>
        <w:tc>
          <w:tcPr>
            <w:tcW w:w="1402" w:type="dxa"/>
            <w:vAlign w:val="center"/>
          </w:tcPr>
          <w:p w14:paraId="5B68E502" w14:textId="41589237" w:rsidR="0038613F" w:rsidRPr="002F7079" w:rsidRDefault="00A775A5" w:rsidP="00EA7573">
            <w:pPr>
              <w:jc w:val="center"/>
              <w:rPr>
                <w:rFonts w:cstheme="minorHAnsi"/>
                <w:sz w:val="18"/>
                <w:szCs w:val="18"/>
                <w:lang w:val="en-US"/>
              </w:rPr>
            </w:pPr>
            <w:proofErr w:type="spellStart"/>
            <w:r w:rsidRPr="002F7079">
              <w:rPr>
                <w:rFonts w:cstheme="minorHAnsi"/>
                <w:sz w:val="18"/>
                <w:szCs w:val="18"/>
                <w:lang w:val="en-US"/>
              </w:rPr>
              <w:t>Sérvia</w:t>
            </w:r>
            <w:proofErr w:type="spellEnd"/>
            <w:r w:rsidRPr="002F7079">
              <w:rPr>
                <w:rFonts w:cstheme="minorHAnsi"/>
                <w:sz w:val="18"/>
                <w:szCs w:val="18"/>
                <w:lang w:val="en-US"/>
              </w:rPr>
              <w:t xml:space="preserve"> </w:t>
            </w:r>
          </w:p>
        </w:tc>
      </w:tr>
      <w:tr w:rsidR="002F7079" w:rsidRPr="002F7079" w14:paraId="6183CF11" w14:textId="622669D9" w:rsidTr="002F7079">
        <w:tc>
          <w:tcPr>
            <w:tcW w:w="568" w:type="dxa"/>
            <w:vAlign w:val="center"/>
          </w:tcPr>
          <w:p w14:paraId="49724703" w14:textId="77777777" w:rsidR="0038613F" w:rsidRPr="002F7079" w:rsidRDefault="0038613F" w:rsidP="00EA7573">
            <w:pPr>
              <w:jc w:val="center"/>
              <w:rPr>
                <w:rFonts w:cstheme="minorHAnsi"/>
                <w:sz w:val="18"/>
                <w:szCs w:val="18"/>
              </w:rPr>
            </w:pPr>
            <w:r w:rsidRPr="002F7079">
              <w:rPr>
                <w:rFonts w:cstheme="minorHAnsi"/>
                <w:sz w:val="18"/>
                <w:szCs w:val="18"/>
              </w:rPr>
              <w:t>E11</w:t>
            </w:r>
          </w:p>
        </w:tc>
        <w:tc>
          <w:tcPr>
            <w:tcW w:w="6555" w:type="dxa"/>
          </w:tcPr>
          <w:p w14:paraId="401B17B4"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“Incidence and risk factors of surgical site infection after total knee arthroplasty: Results of a retrospective cohort study”</w:t>
            </w:r>
          </w:p>
        </w:tc>
        <w:tc>
          <w:tcPr>
            <w:tcW w:w="1540" w:type="dxa"/>
          </w:tcPr>
          <w:p w14:paraId="6A693785"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(Baier et al, 2019)</w:t>
            </w:r>
          </w:p>
        </w:tc>
        <w:tc>
          <w:tcPr>
            <w:tcW w:w="1402" w:type="dxa"/>
            <w:vAlign w:val="center"/>
          </w:tcPr>
          <w:p w14:paraId="76B787CA" w14:textId="5935ADF4" w:rsidR="0038613F" w:rsidRPr="002F7079" w:rsidRDefault="00A775A5" w:rsidP="00EA7573">
            <w:pPr>
              <w:jc w:val="center"/>
              <w:rPr>
                <w:rFonts w:cstheme="minorHAnsi"/>
                <w:sz w:val="18"/>
                <w:szCs w:val="18"/>
                <w:lang w:val="en-US"/>
              </w:rPr>
            </w:pPr>
            <w:proofErr w:type="spellStart"/>
            <w:r w:rsidRPr="002F7079">
              <w:rPr>
                <w:rFonts w:cstheme="minorHAnsi"/>
                <w:sz w:val="18"/>
                <w:szCs w:val="18"/>
                <w:lang w:val="en-US"/>
              </w:rPr>
              <w:t>Alemanha</w:t>
            </w:r>
            <w:proofErr w:type="spellEnd"/>
          </w:p>
        </w:tc>
      </w:tr>
      <w:tr w:rsidR="002F7079" w:rsidRPr="002F7079" w14:paraId="17517E07" w14:textId="79E1480A" w:rsidTr="002F7079">
        <w:tc>
          <w:tcPr>
            <w:tcW w:w="568" w:type="dxa"/>
            <w:vAlign w:val="center"/>
          </w:tcPr>
          <w:p w14:paraId="18ABB2A5" w14:textId="77777777" w:rsidR="0038613F" w:rsidRPr="002F7079" w:rsidRDefault="0038613F" w:rsidP="00EA7573">
            <w:pPr>
              <w:jc w:val="center"/>
              <w:rPr>
                <w:rFonts w:cstheme="minorHAnsi"/>
                <w:sz w:val="18"/>
                <w:szCs w:val="18"/>
              </w:rPr>
            </w:pPr>
            <w:r w:rsidRPr="002F7079">
              <w:rPr>
                <w:rFonts w:cstheme="minorHAnsi"/>
                <w:sz w:val="18"/>
                <w:szCs w:val="18"/>
              </w:rPr>
              <w:t>E12</w:t>
            </w:r>
          </w:p>
        </w:tc>
        <w:tc>
          <w:tcPr>
            <w:tcW w:w="6555" w:type="dxa"/>
          </w:tcPr>
          <w:p w14:paraId="0DF113E6" w14:textId="77777777" w:rsidR="0038613F" w:rsidRPr="002F7079" w:rsidRDefault="0038613F" w:rsidP="00EA7573">
            <w:pPr>
              <w:ind w:left="-104"/>
              <w:rPr>
                <w:rFonts w:cstheme="minorHAnsi"/>
                <w:i/>
                <w:iCs/>
                <w:sz w:val="18"/>
                <w:szCs w:val="18"/>
                <w:lang w:val="en-US"/>
              </w:rPr>
            </w:pPr>
            <w:r w:rsidRPr="002F7079">
              <w:rPr>
                <w:rFonts w:cstheme="minorHAnsi"/>
                <w:i/>
                <w:iCs/>
                <w:sz w:val="18"/>
                <w:szCs w:val="18"/>
                <w:lang w:val="en-US"/>
              </w:rPr>
              <w:t>“Intraoperative bacterial contamination in total hip and knee arthroplasty is associated with operative duration and peeling of the iodine-containing drape from skin”</w:t>
            </w:r>
          </w:p>
        </w:tc>
        <w:tc>
          <w:tcPr>
            <w:tcW w:w="1540" w:type="dxa"/>
          </w:tcPr>
          <w:p w14:paraId="74951B9E" w14:textId="77777777" w:rsidR="0038613F" w:rsidRPr="002F7079" w:rsidRDefault="0038613F" w:rsidP="00EA7573">
            <w:pPr>
              <w:jc w:val="center"/>
              <w:rPr>
                <w:rFonts w:cstheme="minorHAnsi"/>
                <w:sz w:val="18"/>
                <w:szCs w:val="18"/>
                <w:lang w:val="en-US"/>
              </w:rPr>
            </w:pPr>
            <w:r w:rsidRPr="002F7079">
              <w:rPr>
                <w:rFonts w:cstheme="minorHAnsi"/>
                <w:sz w:val="18"/>
                <w:szCs w:val="18"/>
                <w:lang w:val="en-US"/>
              </w:rPr>
              <w:t>(Hanada et al, 2020)</w:t>
            </w:r>
          </w:p>
        </w:tc>
        <w:tc>
          <w:tcPr>
            <w:tcW w:w="1402" w:type="dxa"/>
            <w:vAlign w:val="center"/>
          </w:tcPr>
          <w:p w14:paraId="5295AAFB" w14:textId="4F7712C3" w:rsidR="0038613F" w:rsidRPr="002F7079" w:rsidRDefault="00A775A5" w:rsidP="00EA7573">
            <w:pPr>
              <w:jc w:val="center"/>
              <w:rPr>
                <w:rFonts w:cstheme="minorHAnsi"/>
                <w:sz w:val="18"/>
                <w:szCs w:val="18"/>
                <w:lang w:val="en-US"/>
              </w:rPr>
            </w:pPr>
            <w:proofErr w:type="spellStart"/>
            <w:r w:rsidRPr="002F7079">
              <w:rPr>
                <w:rFonts w:cstheme="minorHAnsi"/>
                <w:sz w:val="18"/>
                <w:szCs w:val="18"/>
                <w:lang w:val="en-US"/>
              </w:rPr>
              <w:t>Japão</w:t>
            </w:r>
            <w:proofErr w:type="spellEnd"/>
          </w:p>
        </w:tc>
      </w:tr>
      <w:tr w:rsidR="002F7079" w:rsidRPr="002F7079" w14:paraId="47C59AEA" w14:textId="52CD490E" w:rsidTr="002F7079">
        <w:tc>
          <w:tcPr>
            <w:tcW w:w="568" w:type="dxa"/>
            <w:vAlign w:val="center"/>
          </w:tcPr>
          <w:p w14:paraId="2C5C8F50" w14:textId="77777777" w:rsidR="00A775A5" w:rsidRPr="002F7079" w:rsidRDefault="00A775A5" w:rsidP="00EA7573">
            <w:pPr>
              <w:jc w:val="center"/>
              <w:rPr>
                <w:rFonts w:cstheme="minorHAnsi"/>
                <w:sz w:val="18"/>
                <w:szCs w:val="18"/>
              </w:rPr>
            </w:pPr>
            <w:r w:rsidRPr="002F7079">
              <w:rPr>
                <w:rFonts w:cstheme="minorHAnsi"/>
                <w:sz w:val="18"/>
                <w:szCs w:val="18"/>
              </w:rPr>
              <w:t>E13</w:t>
            </w:r>
          </w:p>
        </w:tc>
        <w:tc>
          <w:tcPr>
            <w:tcW w:w="6555" w:type="dxa"/>
          </w:tcPr>
          <w:p w14:paraId="75F2AF73"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“Is Operative Time a Predictor for Post-Operative Infection in Primary Total Knee Arthroplasty?”</w:t>
            </w:r>
          </w:p>
        </w:tc>
        <w:tc>
          <w:tcPr>
            <w:tcW w:w="1540" w:type="dxa"/>
          </w:tcPr>
          <w:p w14:paraId="7A41C23D" w14:textId="77777777" w:rsidR="00A775A5" w:rsidRPr="002F7079" w:rsidRDefault="00A775A5" w:rsidP="00EA7573">
            <w:pPr>
              <w:jc w:val="center"/>
              <w:rPr>
                <w:rFonts w:cstheme="minorHAnsi"/>
                <w:sz w:val="18"/>
                <w:szCs w:val="18"/>
              </w:rPr>
            </w:pPr>
            <w:r w:rsidRPr="002F7079">
              <w:rPr>
                <w:rFonts w:cstheme="minorHAnsi"/>
                <w:sz w:val="18"/>
                <w:szCs w:val="18"/>
              </w:rPr>
              <w:t xml:space="preserve">(Anis </w:t>
            </w:r>
            <w:proofErr w:type="spellStart"/>
            <w:r w:rsidRPr="002F7079">
              <w:rPr>
                <w:rFonts w:cstheme="minorHAnsi"/>
                <w:sz w:val="18"/>
                <w:szCs w:val="18"/>
              </w:rPr>
              <w:t>et</w:t>
            </w:r>
            <w:proofErr w:type="spellEnd"/>
            <w:r w:rsidRPr="002F7079">
              <w:rPr>
                <w:rFonts w:cstheme="minorHAnsi"/>
                <w:sz w:val="18"/>
                <w:szCs w:val="18"/>
              </w:rPr>
              <w:t xml:space="preserve"> al, 2019)</w:t>
            </w:r>
          </w:p>
        </w:tc>
        <w:tc>
          <w:tcPr>
            <w:tcW w:w="1402" w:type="dxa"/>
            <w:vAlign w:val="center"/>
          </w:tcPr>
          <w:p w14:paraId="2878912D" w14:textId="283A5FAE" w:rsidR="00A775A5" w:rsidRPr="002F7079" w:rsidRDefault="00096120" w:rsidP="00EA7573">
            <w:pPr>
              <w:jc w:val="center"/>
              <w:rPr>
                <w:rFonts w:cstheme="minorHAnsi"/>
                <w:sz w:val="18"/>
                <w:szCs w:val="18"/>
              </w:rPr>
            </w:pPr>
            <w:r w:rsidRPr="002F7079">
              <w:rPr>
                <w:rFonts w:cstheme="minorHAnsi"/>
                <w:sz w:val="18"/>
                <w:szCs w:val="18"/>
              </w:rPr>
              <w:t>EUA</w:t>
            </w:r>
          </w:p>
        </w:tc>
      </w:tr>
      <w:tr w:rsidR="002F7079" w:rsidRPr="002F7079" w14:paraId="3FE7B7DB" w14:textId="34664530" w:rsidTr="002F7079">
        <w:tc>
          <w:tcPr>
            <w:tcW w:w="568" w:type="dxa"/>
            <w:vAlign w:val="center"/>
          </w:tcPr>
          <w:p w14:paraId="02D4ED7C" w14:textId="77777777" w:rsidR="00A775A5" w:rsidRPr="002F7079" w:rsidRDefault="00A775A5" w:rsidP="00EA7573">
            <w:pPr>
              <w:jc w:val="center"/>
              <w:rPr>
                <w:rFonts w:cstheme="minorHAnsi"/>
                <w:sz w:val="18"/>
                <w:szCs w:val="18"/>
              </w:rPr>
            </w:pPr>
            <w:r w:rsidRPr="002F7079">
              <w:rPr>
                <w:rFonts w:cstheme="minorHAnsi"/>
                <w:sz w:val="18"/>
                <w:szCs w:val="18"/>
              </w:rPr>
              <w:t>E14</w:t>
            </w:r>
          </w:p>
        </w:tc>
        <w:tc>
          <w:tcPr>
            <w:tcW w:w="6555" w:type="dxa"/>
          </w:tcPr>
          <w:p w14:paraId="3DA765CB"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“Longer Operative Time Results in a Higher Rate of Subsequent Periprosthetic Joint Infection in Patients Undergoing Primary Joint Arthroplasty”</w:t>
            </w:r>
          </w:p>
        </w:tc>
        <w:tc>
          <w:tcPr>
            <w:tcW w:w="1540" w:type="dxa"/>
          </w:tcPr>
          <w:p w14:paraId="59F8FBFB"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(Wang et al, 2019)</w:t>
            </w:r>
          </w:p>
        </w:tc>
        <w:tc>
          <w:tcPr>
            <w:tcW w:w="1402" w:type="dxa"/>
            <w:vAlign w:val="center"/>
          </w:tcPr>
          <w:p w14:paraId="5279141C" w14:textId="4BEB9054" w:rsidR="00A775A5"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7D877D6A" w14:textId="0A054F91" w:rsidTr="002F7079">
        <w:tc>
          <w:tcPr>
            <w:tcW w:w="568" w:type="dxa"/>
            <w:vAlign w:val="center"/>
          </w:tcPr>
          <w:p w14:paraId="37852713" w14:textId="77777777" w:rsidR="00A775A5" w:rsidRPr="002F7079" w:rsidRDefault="00A775A5" w:rsidP="00EA7573">
            <w:pPr>
              <w:jc w:val="center"/>
              <w:rPr>
                <w:rFonts w:cstheme="minorHAnsi"/>
                <w:sz w:val="18"/>
                <w:szCs w:val="18"/>
              </w:rPr>
            </w:pPr>
            <w:r w:rsidRPr="002F7079">
              <w:rPr>
                <w:rFonts w:cstheme="minorHAnsi"/>
                <w:sz w:val="18"/>
                <w:szCs w:val="18"/>
              </w:rPr>
              <w:t>E15</w:t>
            </w:r>
          </w:p>
        </w:tc>
        <w:tc>
          <w:tcPr>
            <w:tcW w:w="6555" w:type="dxa"/>
          </w:tcPr>
          <w:p w14:paraId="0A38C791"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“Non-compliance with clinical guidelines increases the risk of complications after primary total hip and knee joint replacement surgery”</w:t>
            </w:r>
          </w:p>
        </w:tc>
        <w:tc>
          <w:tcPr>
            <w:tcW w:w="1540" w:type="dxa"/>
          </w:tcPr>
          <w:p w14:paraId="3F4CB9FA"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(Badge et al, 2021)</w:t>
            </w:r>
          </w:p>
        </w:tc>
        <w:tc>
          <w:tcPr>
            <w:tcW w:w="1402" w:type="dxa"/>
            <w:vAlign w:val="center"/>
          </w:tcPr>
          <w:p w14:paraId="08CA158B" w14:textId="4D31745B" w:rsidR="00A775A5" w:rsidRPr="002F7079" w:rsidRDefault="003D480C" w:rsidP="00EA7573">
            <w:pPr>
              <w:jc w:val="center"/>
              <w:rPr>
                <w:rFonts w:cstheme="minorHAnsi"/>
                <w:sz w:val="18"/>
                <w:szCs w:val="18"/>
                <w:lang w:val="en-US"/>
              </w:rPr>
            </w:pPr>
            <w:proofErr w:type="spellStart"/>
            <w:r w:rsidRPr="002F7079">
              <w:rPr>
                <w:rFonts w:cstheme="minorHAnsi"/>
                <w:sz w:val="18"/>
                <w:szCs w:val="18"/>
                <w:lang w:val="en-US"/>
              </w:rPr>
              <w:t>Austrália</w:t>
            </w:r>
            <w:proofErr w:type="spellEnd"/>
          </w:p>
        </w:tc>
      </w:tr>
      <w:tr w:rsidR="002F7079" w:rsidRPr="002F7079" w14:paraId="2B42E215" w14:textId="4BA91AE3" w:rsidTr="002F7079">
        <w:tc>
          <w:tcPr>
            <w:tcW w:w="568" w:type="dxa"/>
            <w:vAlign w:val="center"/>
          </w:tcPr>
          <w:p w14:paraId="51E3444B" w14:textId="77777777" w:rsidR="00A775A5" w:rsidRPr="002F7079" w:rsidRDefault="00A775A5" w:rsidP="00EA7573">
            <w:pPr>
              <w:jc w:val="center"/>
              <w:rPr>
                <w:rFonts w:cstheme="minorHAnsi"/>
                <w:sz w:val="18"/>
                <w:szCs w:val="18"/>
              </w:rPr>
            </w:pPr>
            <w:r w:rsidRPr="002F7079">
              <w:rPr>
                <w:rFonts w:cstheme="minorHAnsi"/>
                <w:sz w:val="18"/>
                <w:szCs w:val="18"/>
              </w:rPr>
              <w:t>E16</w:t>
            </w:r>
          </w:p>
        </w:tc>
        <w:tc>
          <w:tcPr>
            <w:tcW w:w="6555" w:type="dxa"/>
          </w:tcPr>
          <w:p w14:paraId="16BFC398"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“Patients with musculoskeletal dysplasia undergoing total joint arthroplasty are at increased risk of surgical site Infection”</w:t>
            </w:r>
          </w:p>
        </w:tc>
        <w:tc>
          <w:tcPr>
            <w:tcW w:w="1540" w:type="dxa"/>
          </w:tcPr>
          <w:p w14:paraId="55BF6998"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(Patel et al, 2019)</w:t>
            </w:r>
          </w:p>
        </w:tc>
        <w:tc>
          <w:tcPr>
            <w:tcW w:w="1402" w:type="dxa"/>
            <w:vAlign w:val="center"/>
          </w:tcPr>
          <w:p w14:paraId="31794271" w14:textId="3055E80F" w:rsidR="00A775A5"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2FE2ADF3" w14:textId="13F6C9F0" w:rsidTr="002F7079">
        <w:tc>
          <w:tcPr>
            <w:tcW w:w="568" w:type="dxa"/>
            <w:vAlign w:val="center"/>
          </w:tcPr>
          <w:p w14:paraId="3FE80EC1" w14:textId="77777777" w:rsidR="00A775A5" w:rsidRPr="002F7079" w:rsidRDefault="00A775A5" w:rsidP="00EA7573">
            <w:pPr>
              <w:jc w:val="center"/>
              <w:rPr>
                <w:rFonts w:cstheme="minorHAnsi"/>
                <w:sz w:val="18"/>
                <w:szCs w:val="18"/>
              </w:rPr>
            </w:pPr>
            <w:r w:rsidRPr="002F7079">
              <w:rPr>
                <w:rFonts w:cstheme="minorHAnsi"/>
                <w:sz w:val="18"/>
                <w:szCs w:val="18"/>
              </w:rPr>
              <w:t>E17</w:t>
            </w:r>
          </w:p>
        </w:tc>
        <w:tc>
          <w:tcPr>
            <w:tcW w:w="6555" w:type="dxa"/>
          </w:tcPr>
          <w:p w14:paraId="448AD4C2"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“Perioperative Allogeneic Red Blood-Cell Transfusion Associated with Surgical Site Infection After Total Hip and Knee Arthroplasty”</w:t>
            </w:r>
          </w:p>
        </w:tc>
        <w:tc>
          <w:tcPr>
            <w:tcW w:w="1540" w:type="dxa"/>
          </w:tcPr>
          <w:p w14:paraId="1D10FDBB"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(Everhart et al, 2018)</w:t>
            </w:r>
          </w:p>
        </w:tc>
        <w:tc>
          <w:tcPr>
            <w:tcW w:w="1402" w:type="dxa"/>
            <w:vAlign w:val="center"/>
          </w:tcPr>
          <w:p w14:paraId="7DADAA57" w14:textId="21EBC940" w:rsidR="00A775A5"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3E14B43F" w14:textId="0A6CC79E" w:rsidTr="002F7079">
        <w:tc>
          <w:tcPr>
            <w:tcW w:w="568" w:type="dxa"/>
            <w:vAlign w:val="center"/>
          </w:tcPr>
          <w:p w14:paraId="263813E7" w14:textId="77777777" w:rsidR="00A775A5" w:rsidRPr="002F7079" w:rsidRDefault="00A775A5" w:rsidP="00EA7573">
            <w:pPr>
              <w:jc w:val="center"/>
              <w:rPr>
                <w:rFonts w:cstheme="minorHAnsi"/>
                <w:sz w:val="18"/>
                <w:szCs w:val="18"/>
              </w:rPr>
            </w:pPr>
            <w:r w:rsidRPr="002F7079">
              <w:rPr>
                <w:rFonts w:cstheme="minorHAnsi"/>
                <w:sz w:val="18"/>
                <w:szCs w:val="18"/>
              </w:rPr>
              <w:t>E18</w:t>
            </w:r>
          </w:p>
        </w:tc>
        <w:tc>
          <w:tcPr>
            <w:tcW w:w="6555" w:type="dxa"/>
          </w:tcPr>
          <w:p w14:paraId="5060497A" w14:textId="1E91615F" w:rsidR="00A775A5" w:rsidRPr="002F7079" w:rsidRDefault="003D480C" w:rsidP="00EA7573">
            <w:pPr>
              <w:ind w:left="-104"/>
              <w:rPr>
                <w:rFonts w:cstheme="minorHAnsi"/>
                <w:i/>
                <w:iCs/>
                <w:sz w:val="18"/>
                <w:szCs w:val="18"/>
                <w:lang w:val="en-US"/>
              </w:rPr>
            </w:pPr>
            <w:r w:rsidRPr="002F7079">
              <w:rPr>
                <w:rFonts w:cstheme="minorHAnsi"/>
                <w:i/>
                <w:iCs/>
                <w:sz w:val="18"/>
                <w:szCs w:val="18"/>
                <w:lang w:val="en-US"/>
              </w:rPr>
              <w:t>“</w:t>
            </w:r>
            <w:r w:rsidR="00A775A5" w:rsidRPr="002F7079">
              <w:rPr>
                <w:rFonts w:cstheme="minorHAnsi"/>
                <w:i/>
                <w:iCs/>
                <w:sz w:val="18"/>
                <w:szCs w:val="18"/>
                <w:lang w:val="en-US"/>
              </w:rPr>
              <w:t>Peritoneal Dialysis Does Not Carry the Same Risk as Hemodialysis in Patients Undergoing Hip or Knee Arthroplasty</w:t>
            </w:r>
            <w:r w:rsidRPr="002F7079">
              <w:rPr>
                <w:rFonts w:cstheme="minorHAnsi"/>
                <w:i/>
                <w:iCs/>
                <w:sz w:val="18"/>
                <w:szCs w:val="18"/>
                <w:lang w:val="en-US"/>
              </w:rPr>
              <w:t>”</w:t>
            </w:r>
          </w:p>
        </w:tc>
        <w:tc>
          <w:tcPr>
            <w:tcW w:w="1540" w:type="dxa"/>
          </w:tcPr>
          <w:p w14:paraId="18EFAEE1"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(Browne et al, 2019)</w:t>
            </w:r>
          </w:p>
        </w:tc>
        <w:tc>
          <w:tcPr>
            <w:tcW w:w="1402" w:type="dxa"/>
            <w:vAlign w:val="center"/>
          </w:tcPr>
          <w:p w14:paraId="0A329D31" w14:textId="716C7A14" w:rsidR="00A775A5"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19FEBD54" w14:textId="52C51B65" w:rsidTr="002F7079">
        <w:tc>
          <w:tcPr>
            <w:tcW w:w="568" w:type="dxa"/>
            <w:vAlign w:val="center"/>
          </w:tcPr>
          <w:p w14:paraId="3B53ABCE" w14:textId="77777777" w:rsidR="00A775A5" w:rsidRPr="002F7079" w:rsidRDefault="00A775A5" w:rsidP="00EA7573">
            <w:pPr>
              <w:jc w:val="center"/>
              <w:rPr>
                <w:rFonts w:cstheme="minorHAnsi"/>
                <w:sz w:val="18"/>
                <w:szCs w:val="18"/>
              </w:rPr>
            </w:pPr>
            <w:r w:rsidRPr="002F7079">
              <w:rPr>
                <w:rFonts w:cstheme="minorHAnsi"/>
                <w:sz w:val="18"/>
                <w:szCs w:val="18"/>
              </w:rPr>
              <w:t>E19</w:t>
            </w:r>
          </w:p>
        </w:tc>
        <w:tc>
          <w:tcPr>
            <w:tcW w:w="6555" w:type="dxa"/>
          </w:tcPr>
          <w:p w14:paraId="13F2CC4A"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“Prediction of Complications, Readmission, and Revision Surgery Based on Duration of Preoperative Opioid Use: Analysis of Major Joint Replacement and Lumbar Fusion”</w:t>
            </w:r>
          </w:p>
        </w:tc>
        <w:tc>
          <w:tcPr>
            <w:tcW w:w="1540" w:type="dxa"/>
          </w:tcPr>
          <w:p w14:paraId="6493ED2D"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(Jain et al, 2019)</w:t>
            </w:r>
          </w:p>
        </w:tc>
        <w:tc>
          <w:tcPr>
            <w:tcW w:w="1402" w:type="dxa"/>
            <w:vAlign w:val="center"/>
          </w:tcPr>
          <w:p w14:paraId="6EB8CD2D" w14:textId="79D83C68" w:rsidR="00A775A5" w:rsidRPr="002F7079" w:rsidRDefault="00096120" w:rsidP="00EA7573">
            <w:pPr>
              <w:jc w:val="center"/>
              <w:rPr>
                <w:rFonts w:cstheme="minorHAnsi"/>
                <w:sz w:val="18"/>
                <w:szCs w:val="18"/>
                <w:lang w:val="en-US"/>
              </w:rPr>
            </w:pPr>
            <w:r w:rsidRPr="002F7079">
              <w:rPr>
                <w:rFonts w:cstheme="minorHAnsi"/>
                <w:sz w:val="18"/>
                <w:szCs w:val="18"/>
              </w:rPr>
              <w:t>EUA</w:t>
            </w:r>
          </w:p>
        </w:tc>
      </w:tr>
      <w:tr w:rsidR="002F7079" w:rsidRPr="002F7079" w14:paraId="425590AA" w14:textId="42A42F3C" w:rsidTr="002F7079">
        <w:tc>
          <w:tcPr>
            <w:tcW w:w="568" w:type="dxa"/>
            <w:vAlign w:val="center"/>
          </w:tcPr>
          <w:p w14:paraId="5CB1FB28" w14:textId="77777777" w:rsidR="00A775A5" w:rsidRPr="002F7079" w:rsidRDefault="00A775A5" w:rsidP="00EA7573">
            <w:pPr>
              <w:jc w:val="center"/>
              <w:rPr>
                <w:rFonts w:cstheme="minorHAnsi"/>
                <w:sz w:val="18"/>
                <w:szCs w:val="18"/>
              </w:rPr>
            </w:pPr>
            <w:r w:rsidRPr="002F7079">
              <w:rPr>
                <w:rFonts w:cstheme="minorHAnsi"/>
                <w:sz w:val="18"/>
                <w:szCs w:val="18"/>
              </w:rPr>
              <w:t>E20</w:t>
            </w:r>
          </w:p>
        </w:tc>
        <w:tc>
          <w:tcPr>
            <w:tcW w:w="6555" w:type="dxa"/>
          </w:tcPr>
          <w:p w14:paraId="32FD1DDA"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“Risk factors for infection, revision, death, blood transfusion and longer hospital stay 3 months and 1 year after primary total hip or knee arthroplasty”</w:t>
            </w:r>
          </w:p>
        </w:tc>
        <w:tc>
          <w:tcPr>
            <w:tcW w:w="1540" w:type="dxa"/>
          </w:tcPr>
          <w:p w14:paraId="336EF263"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(Rhee et al, 2018)</w:t>
            </w:r>
          </w:p>
        </w:tc>
        <w:tc>
          <w:tcPr>
            <w:tcW w:w="1402" w:type="dxa"/>
            <w:vAlign w:val="center"/>
          </w:tcPr>
          <w:p w14:paraId="2FB4DC40" w14:textId="00D79428" w:rsidR="00A775A5" w:rsidRPr="002F7079" w:rsidRDefault="003D480C" w:rsidP="00EA7573">
            <w:pPr>
              <w:jc w:val="center"/>
              <w:rPr>
                <w:rFonts w:cstheme="minorHAnsi"/>
                <w:sz w:val="18"/>
                <w:szCs w:val="18"/>
                <w:lang w:val="en-US"/>
              </w:rPr>
            </w:pPr>
            <w:proofErr w:type="spellStart"/>
            <w:r w:rsidRPr="002F7079">
              <w:rPr>
                <w:rFonts w:cstheme="minorHAnsi"/>
                <w:sz w:val="18"/>
                <w:szCs w:val="18"/>
                <w:lang w:val="en-US"/>
              </w:rPr>
              <w:t>Canadá</w:t>
            </w:r>
            <w:proofErr w:type="spellEnd"/>
          </w:p>
        </w:tc>
      </w:tr>
      <w:tr w:rsidR="002F7079" w:rsidRPr="002F7079" w14:paraId="01321EDD" w14:textId="487259B8" w:rsidTr="002F7079">
        <w:tc>
          <w:tcPr>
            <w:tcW w:w="568" w:type="dxa"/>
            <w:vAlign w:val="center"/>
          </w:tcPr>
          <w:p w14:paraId="679B9549" w14:textId="77777777" w:rsidR="00A775A5" w:rsidRPr="002F7079" w:rsidRDefault="00A775A5" w:rsidP="00EA7573">
            <w:pPr>
              <w:jc w:val="center"/>
              <w:rPr>
                <w:rFonts w:cstheme="minorHAnsi"/>
                <w:sz w:val="18"/>
                <w:szCs w:val="18"/>
              </w:rPr>
            </w:pPr>
            <w:r w:rsidRPr="002F7079">
              <w:rPr>
                <w:rFonts w:cstheme="minorHAnsi"/>
                <w:sz w:val="18"/>
                <w:szCs w:val="18"/>
              </w:rPr>
              <w:t>E21</w:t>
            </w:r>
          </w:p>
        </w:tc>
        <w:tc>
          <w:tcPr>
            <w:tcW w:w="6555" w:type="dxa"/>
          </w:tcPr>
          <w:p w14:paraId="56BAEEF4"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“Risk Factors for Surgical Site Infection Following Lower Limb Arthroplasty: A Retrospective Cohort Analysis of 3932 Lower Limb Arthroplasty Procedures in a High-Volume Arthroplasty Unit”</w:t>
            </w:r>
          </w:p>
        </w:tc>
        <w:tc>
          <w:tcPr>
            <w:tcW w:w="1540" w:type="dxa"/>
          </w:tcPr>
          <w:p w14:paraId="5C6DF3E2"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w:t>
            </w:r>
            <w:proofErr w:type="spellStart"/>
            <w:r w:rsidRPr="002F7079">
              <w:rPr>
                <w:rFonts w:cstheme="minorHAnsi"/>
                <w:sz w:val="18"/>
                <w:szCs w:val="18"/>
                <w:lang w:val="en-US"/>
              </w:rPr>
              <w:t>Almustafa</w:t>
            </w:r>
            <w:proofErr w:type="spellEnd"/>
            <w:r w:rsidRPr="002F7079">
              <w:rPr>
                <w:rFonts w:cstheme="minorHAnsi"/>
                <w:sz w:val="18"/>
                <w:szCs w:val="18"/>
                <w:lang w:val="en-US"/>
              </w:rPr>
              <w:t xml:space="preserve"> et al, 2018)</w:t>
            </w:r>
          </w:p>
        </w:tc>
        <w:tc>
          <w:tcPr>
            <w:tcW w:w="1402" w:type="dxa"/>
            <w:vAlign w:val="center"/>
          </w:tcPr>
          <w:p w14:paraId="65E8B2D8" w14:textId="6B21302E" w:rsidR="00A775A5" w:rsidRPr="002F7079" w:rsidRDefault="003D480C" w:rsidP="00EA7573">
            <w:pPr>
              <w:jc w:val="center"/>
              <w:rPr>
                <w:rFonts w:cstheme="minorHAnsi"/>
                <w:sz w:val="18"/>
                <w:szCs w:val="18"/>
                <w:lang w:val="en-US"/>
              </w:rPr>
            </w:pPr>
            <w:r w:rsidRPr="002F7079">
              <w:rPr>
                <w:rFonts w:cstheme="minorHAnsi"/>
                <w:sz w:val="18"/>
                <w:szCs w:val="18"/>
                <w:lang w:val="en-US"/>
              </w:rPr>
              <w:t xml:space="preserve">Reino </w:t>
            </w:r>
            <w:proofErr w:type="spellStart"/>
            <w:r w:rsidRPr="002F7079">
              <w:rPr>
                <w:rFonts w:cstheme="minorHAnsi"/>
                <w:sz w:val="18"/>
                <w:szCs w:val="18"/>
                <w:lang w:val="en-US"/>
              </w:rPr>
              <w:t>Unido</w:t>
            </w:r>
            <w:proofErr w:type="spellEnd"/>
          </w:p>
        </w:tc>
      </w:tr>
      <w:tr w:rsidR="002F7079" w:rsidRPr="002F7079" w14:paraId="2FBC579A" w14:textId="2B2201DB" w:rsidTr="002F7079">
        <w:tc>
          <w:tcPr>
            <w:tcW w:w="568" w:type="dxa"/>
            <w:vAlign w:val="center"/>
          </w:tcPr>
          <w:p w14:paraId="7AD6BE20" w14:textId="77777777" w:rsidR="00A775A5" w:rsidRPr="002F7079" w:rsidRDefault="00A775A5" w:rsidP="00EA7573">
            <w:pPr>
              <w:jc w:val="center"/>
              <w:rPr>
                <w:rFonts w:cstheme="minorHAnsi"/>
                <w:sz w:val="18"/>
                <w:szCs w:val="18"/>
              </w:rPr>
            </w:pPr>
            <w:r w:rsidRPr="002F7079">
              <w:rPr>
                <w:rFonts w:cstheme="minorHAnsi"/>
                <w:sz w:val="18"/>
                <w:szCs w:val="18"/>
              </w:rPr>
              <w:t>E22</w:t>
            </w:r>
          </w:p>
        </w:tc>
        <w:tc>
          <w:tcPr>
            <w:tcW w:w="6555" w:type="dxa"/>
          </w:tcPr>
          <w:p w14:paraId="1B48DA86"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“Risk factors of postoperative complications following total knee arthroplasty in Korea: A nationwide retrospective cohort study”</w:t>
            </w:r>
          </w:p>
        </w:tc>
        <w:tc>
          <w:tcPr>
            <w:tcW w:w="1540" w:type="dxa"/>
          </w:tcPr>
          <w:p w14:paraId="54F4004C"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(Ko et al, 2021)</w:t>
            </w:r>
          </w:p>
        </w:tc>
        <w:tc>
          <w:tcPr>
            <w:tcW w:w="1402" w:type="dxa"/>
            <w:vAlign w:val="center"/>
          </w:tcPr>
          <w:p w14:paraId="52ADEBED" w14:textId="1A0DA096" w:rsidR="00A775A5" w:rsidRPr="002F7079" w:rsidRDefault="003D480C" w:rsidP="00EA7573">
            <w:pPr>
              <w:jc w:val="center"/>
              <w:rPr>
                <w:rFonts w:cstheme="minorHAnsi"/>
                <w:sz w:val="18"/>
                <w:szCs w:val="18"/>
                <w:lang w:val="en-US"/>
              </w:rPr>
            </w:pPr>
            <w:proofErr w:type="spellStart"/>
            <w:r w:rsidRPr="002F7079">
              <w:rPr>
                <w:rFonts w:cstheme="minorHAnsi"/>
                <w:sz w:val="18"/>
                <w:szCs w:val="18"/>
                <w:lang w:val="en-US"/>
              </w:rPr>
              <w:t>Coreia</w:t>
            </w:r>
            <w:proofErr w:type="spellEnd"/>
            <w:r w:rsidRPr="002F7079">
              <w:rPr>
                <w:rFonts w:cstheme="minorHAnsi"/>
                <w:sz w:val="18"/>
                <w:szCs w:val="18"/>
                <w:lang w:val="en-US"/>
              </w:rPr>
              <w:t xml:space="preserve"> do Sul</w:t>
            </w:r>
          </w:p>
        </w:tc>
      </w:tr>
      <w:tr w:rsidR="002F7079" w:rsidRPr="002F7079" w14:paraId="0EE15A5E" w14:textId="7540B3DE" w:rsidTr="002F7079">
        <w:tc>
          <w:tcPr>
            <w:tcW w:w="568" w:type="dxa"/>
            <w:vAlign w:val="center"/>
          </w:tcPr>
          <w:p w14:paraId="67796950" w14:textId="77777777" w:rsidR="00A775A5" w:rsidRPr="002F7079" w:rsidRDefault="00A775A5" w:rsidP="00EA7573">
            <w:pPr>
              <w:jc w:val="center"/>
              <w:rPr>
                <w:rFonts w:cstheme="minorHAnsi"/>
                <w:sz w:val="18"/>
                <w:szCs w:val="18"/>
              </w:rPr>
            </w:pPr>
            <w:r w:rsidRPr="002F7079">
              <w:rPr>
                <w:rFonts w:cstheme="minorHAnsi"/>
                <w:sz w:val="18"/>
                <w:szCs w:val="18"/>
              </w:rPr>
              <w:t>E23</w:t>
            </w:r>
          </w:p>
        </w:tc>
        <w:tc>
          <w:tcPr>
            <w:tcW w:w="6555" w:type="dxa"/>
          </w:tcPr>
          <w:p w14:paraId="37CA0F02"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“Surgical site infection incidence and risk factors in knee arthroplasty: A 9-year prospective cohort study at a university teaching hospital in Spain”</w:t>
            </w:r>
          </w:p>
        </w:tc>
        <w:tc>
          <w:tcPr>
            <w:tcW w:w="1540" w:type="dxa"/>
          </w:tcPr>
          <w:p w14:paraId="5DAE9D9C" w14:textId="77777777" w:rsidR="00A775A5" w:rsidRPr="002F7079" w:rsidRDefault="00A775A5" w:rsidP="00EA7573">
            <w:pPr>
              <w:jc w:val="center"/>
              <w:rPr>
                <w:rFonts w:cstheme="minorHAnsi"/>
                <w:sz w:val="18"/>
                <w:szCs w:val="18"/>
              </w:rPr>
            </w:pPr>
            <w:r w:rsidRPr="002F7079">
              <w:rPr>
                <w:rFonts w:cstheme="minorHAnsi"/>
                <w:sz w:val="18"/>
                <w:szCs w:val="18"/>
              </w:rPr>
              <w:t>(</w:t>
            </w:r>
            <w:proofErr w:type="spellStart"/>
            <w:r w:rsidRPr="002F7079">
              <w:rPr>
                <w:rFonts w:cstheme="minorHAnsi"/>
                <w:sz w:val="18"/>
                <w:szCs w:val="18"/>
              </w:rPr>
              <w:t>Hijas-Gómez</w:t>
            </w:r>
            <w:proofErr w:type="spellEnd"/>
            <w:r w:rsidRPr="002F7079">
              <w:rPr>
                <w:rFonts w:cstheme="minorHAnsi"/>
                <w:sz w:val="18"/>
                <w:szCs w:val="18"/>
              </w:rPr>
              <w:t xml:space="preserve"> </w:t>
            </w:r>
            <w:proofErr w:type="spellStart"/>
            <w:r w:rsidRPr="002F7079">
              <w:rPr>
                <w:rFonts w:cstheme="minorHAnsi"/>
                <w:sz w:val="18"/>
                <w:szCs w:val="18"/>
              </w:rPr>
              <w:t>et</w:t>
            </w:r>
            <w:proofErr w:type="spellEnd"/>
            <w:r w:rsidRPr="002F7079">
              <w:rPr>
                <w:rFonts w:cstheme="minorHAnsi"/>
                <w:sz w:val="18"/>
                <w:szCs w:val="18"/>
              </w:rPr>
              <w:t xml:space="preserve"> al, 2018)</w:t>
            </w:r>
          </w:p>
        </w:tc>
        <w:tc>
          <w:tcPr>
            <w:tcW w:w="1402" w:type="dxa"/>
            <w:vAlign w:val="center"/>
          </w:tcPr>
          <w:p w14:paraId="4E414482" w14:textId="4C31394F" w:rsidR="00A775A5" w:rsidRPr="002F7079" w:rsidRDefault="003D480C" w:rsidP="00EA7573">
            <w:pPr>
              <w:jc w:val="center"/>
              <w:rPr>
                <w:rFonts w:cstheme="minorHAnsi"/>
                <w:sz w:val="18"/>
                <w:szCs w:val="18"/>
              </w:rPr>
            </w:pPr>
            <w:r w:rsidRPr="002F7079">
              <w:rPr>
                <w:rFonts w:cstheme="minorHAnsi"/>
                <w:sz w:val="18"/>
                <w:szCs w:val="18"/>
              </w:rPr>
              <w:t>Espanha</w:t>
            </w:r>
          </w:p>
        </w:tc>
      </w:tr>
      <w:tr w:rsidR="002F7079" w:rsidRPr="002F7079" w14:paraId="47EC78EF" w14:textId="38EE089E" w:rsidTr="002F7079">
        <w:tc>
          <w:tcPr>
            <w:tcW w:w="568" w:type="dxa"/>
            <w:vAlign w:val="center"/>
          </w:tcPr>
          <w:p w14:paraId="765482D0" w14:textId="77777777" w:rsidR="00A775A5" w:rsidRPr="002F7079" w:rsidRDefault="00A775A5" w:rsidP="00EA7573">
            <w:pPr>
              <w:jc w:val="center"/>
              <w:rPr>
                <w:rFonts w:cstheme="minorHAnsi"/>
                <w:sz w:val="18"/>
                <w:szCs w:val="18"/>
              </w:rPr>
            </w:pPr>
            <w:r w:rsidRPr="002F7079">
              <w:rPr>
                <w:rFonts w:cstheme="minorHAnsi"/>
                <w:sz w:val="18"/>
                <w:szCs w:val="18"/>
              </w:rPr>
              <w:t>E24</w:t>
            </w:r>
          </w:p>
        </w:tc>
        <w:tc>
          <w:tcPr>
            <w:tcW w:w="6555" w:type="dxa"/>
          </w:tcPr>
          <w:p w14:paraId="232B6E62"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“Surgical site infection after primary total knee arthroplasty is associated with a longer duration of surgery”</w:t>
            </w:r>
          </w:p>
        </w:tc>
        <w:tc>
          <w:tcPr>
            <w:tcW w:w="1540" w:type="dxa"/>
          </w:tcPr>
          <w:p w14:paraId="54367327"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(Teo et al, 2018)</w:t>
            </w:r>
          </w:p>
        </w:tc>
        <w:tc>
          <w:tcPr>
            <w:tcW w:w="1402" w:type="dxa"/>
            <w:vAlign w:val="center"/>
          </w:tcPr>
          <w:p w14:paraId="1ECD63A0" w14:textId="65F9848C" w:rsidR="00A775A5" w:rsidRPr="002F7079" w:rsidRDefault="003D480C" w:rsidP="00EA7573">
            <w:pPr>
              <w:jc w:val="center"/>
              <w:rPr>
                <w:rFonts w:cstheme="minorHAnsi"/>
                <w:sz w:val="18"/>
                <w:szCs w:val="18"/>
                <w:lang w:val="en-US"/>
              </w:rPr>
            </w:pPr>
            <w:r w:rsidRPr="002F7079">
              <w:rPr>
                <w:rFonts w:cstheme="minorHAnsi"/>
                <w:sz w:val="18"/>
                <w:szCs w:val="18"/>
                <w:lang w:val="en-US"/>
              </w:rPr>
              <w:t>Singapura</w:t>
            </w:r>
          </w:p>
        </w:tc>
      </w:tr>
      <w:tr w:rsidR="002F7079" w:rsidRPr="002F7079" w14:paraId="47B20FF6" w14:textId="4873BCE1" w:rsidTr="002F7079">
        <w:tc>
          <w:tcPr>
            <w:tcW w:w="568" w:type="dxa"/>
            <w:vAlign w:val="center"/>
          </w:tcPr>
          <w:p w14:paraId="55E83387" w14:textId="77777777" w:rsidR="00A775A5" w:rsidRPr="002F7079" w:rsidRDefault="00A775A5" w:rsidP="00EA7573">
            <w:pPr>
              <w:jc w:val="center"/>
              <w:rPr>
                <w:rFonts w:cstheme="minorHAnsi"/>
                <w:sz w:val="18"/>
                <w:szCs w:val="18"/>
              </w:rPr>
            </w:pPr>
            <w:r w:rsidRPr="002F7079">
              <w:rPr>
                <w:rFonts w:cstheme="minorHAnsi"/>
                <w:sz w:val="18"/>
                <w:szCs w:val="18"/>
              </w:rPr>
              <w:t>E25</w:t>
            </w:r>
          </w:p>
        </w:tc>
        <w:tc>
          <w:tcPr>
            <w:tcW w:w="6555" w:type="dxa"/>
          </w:tcPr>
          <w:p w14:paraId="480D9F8E" w14:textId="77777777" w:rsidR="00A775A5" w:rsidRPr="002F7079" w:rsidRDefault="00A775A5" w:rsidP="00EA7573">
            <w:pPr>
              <w:tabs>
                <w:tab w:val="left" w:pos="948"/>
              </w:tabs>
              <w:ind w:left="-104"/>
              <w:rPr>
                <w:rFonts w:cstheme="minorHAnsi"/>
                <w:i/>
                <w:iCs/>
                <w:sz w:val="18"/>
                <w:szCs w:val="18"/>
                <w:lang w:val="en-US"/>
              </w:rPr>
            </w:pPr>
            <w:r w:rsidRPr="002F7079">
              <w:rPr>
                <w:rFonts w:cstheme="minorHAnsi"/>
                <w:i/>
                <w:iCs/>
                <w:sz w:val="18"/>
                <w:szCs w:val="18"/>
                <w:lang w:val="en-US"/>
              </w:rPr>
              <w:t>“The Radiographic Prepatellar Fat Thickness Ratio Correlates with Infection Risk After Total Knee Arthroplasty”</w:t>
            </w:r>
          </w:p>
        </w:tc>
        <w:tc>
          <w:tcPr>
            <w:tcW w:w="1540" w:type="dxa"/>
          </w:tcPr>
          <w:p w14:paraId="4DAED870"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(Wagner et al, 2018)</w:t>
            </w:r>
          </w:p>
        </w:tc>
        <w:tc>
          <w:tcPr>
            <w:tcW w:w="1402" w:type="dxa"/>
            <w:vAlign w:val="center"/>
          </w:tcPr>
          <w:p w14:paraId="1B21CFB8" w14:textId="0050367E" w:rsidR="00A775A5" w:rsidRPr="002F7079" w:rsidRDefault="003D480C" w:rsidP="00EA7573">
            <w:pPr>
              <w:jc w:val="center"/>
              <w:rPr>
                <w:rFonts w:cstheme="minorHAnsi"/>
                <w:sz w:val="18"/>
                <w:szCs w:val="18"/>
                <w:lang w:val="en-US"/>
              </w:rPr>
            </w:pPr>
            <w:r w:rsidRPr="002F7079">
              <w:rPr>
                <w:rFonts w:cstheme="minorHAnsi"/>
                <w:sz w:val="18"/>
                <w:szCs w:val="18"/>
                <w:lang w:val="en-US"/>
              </w:rPr>
              <w:t>EUA</w:t>
            </w:r>
          </w:p>
        </w:tc>
      </w:tr>
      <w:tr w:rsidR="002F7079" w:rsidRPr="002F7079" w14:paraId="6731A8E2" w14:textId="7B2A805C" w:rsidTr="002F7079">
        <w:tc>
          <w:tcPr>
            <w:tcW w:w="568" w:type="dxa"/>
            <w:vAlign w:val="center"/>
          </w:tcPr>
          <w:p w14:paraId="151B30F4" w14:textId="77777777" w:rsidR="00A775A5" w:rsidRPr="002F7079" w:rsidRDefault="00A775A5" w:rsidP="00EA7573">
            <w:pPr>
              <w:jc w:val="center"/>
              <w:rPr>
                <w:rFonts w:cstheme="minorHAnsi"/>
                <w:sz w:val="18"/>
                <w:szCs w:val="18"/>
              </w:rPr>
            </w:pPr>
            <w:r w:rsidRPr="002F7079">
              <w:rPr>
                <w:rFonts w:cstheme="minorHAnsi"/>
                <w:sz w:val="18"/>
                <w:szCs w:val="18"/>
              </w:rPr>
              <w:t>E26</w:t>
            </w:r>
          </w:p>
        </w:tc>
        <w:tc>
          <w:tcPr>
            <w:tcW w:w="6555" w:type="dxa"/>
          </w:tcPr>
          <w:p w14:paraId="4F31B949"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“The Seasonal Variability of Surgical Site Infections in Knee and Hip Arthroplasty”</w:t>
            </w:r>
          </w:p>
        </w:tc>
        <w:tc>
          <w:tcPr>
            <w:tcW w:w="1540" w:type="dxa"/>
          </w:tcPr>
          <w:p w14:paraId="419E0BA6"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(Anthony et al, 2018)</w:t>
            </w:r>
          </w:p>
        </w:tc>
        <w:tc>
          <w:tcPr>
            <w:tcW w:w="1402" w:type="dxa"/>
            <w:vAlign w:val="center"/>
          </w:tcPr>
          <w:p w14:paraId="288B444E" w14:textId="79C388CD" w:rsidR="00A775A5" w:rsidRPr="002F7079" w:rsidRDefault="003D480C" w:rsidP="00EA7573">
            <w:pPr>
              <w:jc w:val="center"/>
              <w:rPr>
                <w:rFonts w:cstheme="minorHAnsi"/>
                <w:sz w:val="18"/>
                <w:szCs w:val="18"/>
                <w:lang w:val="en-US"/>
              </w:rPr>
            </w:pPr>
            <w:r w:rsidRPr="002F7079">
              <w:rPr>
                <w:rFonts w:cstheme="minorHAnsi"/>
                <w:sz w:val="18"/>
                <w:szCs w:val="18"/>
                <w:lang w:val="en-US"/>
              </w:rPr>
              <w:t>EUA</w:t>
            </w:r>
          </w:p>
        </w:tc>
      </w:tr>
      <w:tr w:rsidR="002F7079" w:rsidRPr="002F7079" w14:paraId="7233C9E8" w14:textId="01C839FC" w:rsidTr="002F7079">
        <w:tc>
          <w:tcPr>
            <w:tcW w:w="568" w:type="dxa"/>
            <w:vAlign w:val="center"/>
          </w:tcPr>
          <w:p w14:paraId="7728CE2D" w14:textId="77777777" w:rsidR="00A775A5" w:rsidRPr="002F7079" w:rsidRDefault="00A775A5" w:rsidP="00EA7573">
            <w:pPr>
              <w:jc w:val="center"/>
              <w:rPr>
                <w:rFonts w:cstheme="minorHAnsi"/>
                <w:sz w:val="18"/>
                <w:szCs w:val="18"/>
              </w:rPr>
            </w:pPr>
            <w:r w:rsidRPr="002F7079">
              <w:rPr>
                <w:rFonts w:cstheme="minorHAnsi"/>
                <w:sz w:val="18"/>
                <w:szCs w:val="18"/>
              </w:rPr>
              <w:t>E27</w:t>
            </w:r>
          </w:p>
        </w:tc>
        <w:tc>
          <w:tcPr>
            <w:tcW w:w="6555" w:type="dxa"/>
          </w:tcPr>
          <w:p w14:paraId="737A79A6" w14:textId="77777777" w:rsidR="00A775A5" w:rsidRPr="002F7079" w:rsidRDefault="00A775A5" w:rsidP="00EA7573">
            <w:pPr>
              <w:ind w:left="-104"/>
              <w:rPr>
                <w:rFonts w:cstheme="minorHAnsi"/>
                <w:i/>
                <w:iCs/>
                <w:sz w:val="18"/>
                <w:szCs w:val="18"/>
                <w:lang w:val="en-US"/>
              </w:rPr>
            </w:pPr>
            <w:r w:rsidRPr="002F7079">
              <w:rPr>
                <w:rFonts w:cstheme="minorHAnsi"/>
                <w:i/>
                <w:iCs/>
                <w:sz w:val="18"/>
                <w:szCs w:val="18"/>
                <w:lang w:val="en-US"/>
              </w:rPr>
              <w:t>“What Are Risk Factors for Infection after Primary or Revision Total Joint Arthroplasty in Patients Older Than 80 Years?”</w:t>
            </w:r>
          </w:p>
        </w:tc>
        <w:tc>
          <w:tcPr>
            <w:tcW w:w="1540" w:type="dxa"/>
          </w:tcPr>
          <w:p w14:paraId="3C99C553" w14:textId="77777777" w:rsidR="00A775A5" w:rsidRPr="002F7079" w:rsidRDefault="00A775A5" w:rsidP="00EA7573">
            <w:pPr>
              <w:jc w:val="center"/>
              <w:rPr>
                <w:rFonts w:cstheme="minorHAnsi"/>
                <w:sz w:val="18"/>
                <w:szCs w:val="18"/>
                <w:lang w:val="en-US"/>
              </w:rPr>
            </w:pPr>
            <w:r w:rsidRPr="002F7079">
              <w:rPr>
                <w:rFonts w:cstheme="minorHAnsi"/>
                <w:sz w:val="18"/>
                <w:szCs w:val="18"/>
                <w:lang w:val="en-US"/>
              </w:rPr>
              <w:t>(Sodhi et al, 2020)</w:t>
            </w:r>
          </w:p>
        </w:tc>
        <w:tc>
          <w:tcPr>
            <w:tcW w:w="1402" w:type="dxa"/>
            <w:vAlign w:val="center"/>
          </w:tcPr>
          <w:p w14:paraId="79651D42" w14:textId="2A54E285" w:rsidR="00A775A5" w:rsidRPr="002F7079" w:rsidRDefault="00096120" w:rsidP="00EA7573">
            <w:pPr>
              <w:jc w:val="center"/>
              <w:rPr>
                <w:rFonts w:cstheme="minorHAnsi"/>
                <w:sz w:val="18"/>
                <w:szCs w:val="18"/>
                <w:lang w:val="en-US"/>
              </w:rPr>
            </w:pPr>
            <w:r w:rsidRPr="002F7079">
              <w:rPr>
                <w:rFonts w:cstheme="minorHAnsi"/>
                <w:sz w:val="18"/>
                <w:szCs w:val="18"/>
                <w:lang w:val="en-US"/>
              </w:rPr>
              <w:t>EUA</w:t>
            </w:r>
          </w:p>
        </w:tc>
      </w:tr>
    </w:tbl>
    <w:p w14:paraId="631A1C59" w14:textId="77777777" w:rsidR="00EA7573" w:rsidRPr="002F7079" w:rsidRDefault="00EA7573" w:rsidP="00D969E8">
      <w:pPr>
        <w:spacing w:after="0" w:line="240" w:lineRule="auto"/>
        <w:jc w:val="both"/>
        <w:rPr>
          <w:rFonts w:cstheme="minorHAnsi"/>
        </w:rPr>
      </w:pPr>
    </w:p>
    <w:p w14:paraId="32A1277F" w14:textId="77777777" w:rsidR="002F7079" w:rsidRDefault="002F7079" w:rsidP="00D969E8">
      <w:pPr>
        <w:spacing w:after="0" w:line="240" w:lineRule="auto"/>
        <w:jc w:val="both"/>
        <w:rPr>
          <w:rFonts w:cstheme="minorHAnsi"/>
        </w:rPr>
        <w:sectPr w:rsidR="002F7079" w:rsidSect="00650AF9">
          <w:type w:val="continuous"/>
          <w:pgSz w:w="11906" w:h="16838"/>
          <w:pgMar w:top="1135" w:right="1080" w:bottom="568" w:left="1080" w:header="709" w:footer="709" w:gutter="0"/>
          <w:cols w:space="708"/>
          <w:titlePg/>
          <w:docGrid w:linePitch="360"/>
        </w:sectPr>
      </w:pPr>
    </w:p>
    <w:p w14:paraId="0762D738" w14:textId="7CD71A55" w:rsidR="004F6933" w:rsidRPr="002F7079" w:rsidRDefault="004F6933" w:rsidP="00D969E8">
      <w:pPr>
        <w:spacing w:after="120" w:line="360" w:lineRule="auto"/>
        <w:ind w:left="-170" w:right="-170"/>
        <w:jc w:val="both"/>
        <w:rPr>
          <w:rFonts w:cstheme="minorHAnsi"/>
          <w:b/>
          <w:bCs/>
        </w:rPr>
      </w:pPr>
      <w:r w:rsidRPr="002F7079">
        <w:rPr>
          <w:rFonts w:cstheme="minorHAnsi"/>
          <w:b/>
          <w:bCs/>
        </w:rPr>
        <w:t>RESULTADOS</w:t>
      </w:r>
    </w:p>
    <w:p w14:paraId="120A95CD" w14:textId="1AE9DB3D" w:rsidR="00D95CDE" w:rsidRPr="002F7079" w:rsidRDefault="00D95CDE" w:rsidP="002F7079">
      <w:pPr>
        <w:spacing w:after="0" w:line="360" w:lineRule="auto"/>
        <w:ind w:left="-170" w:right="-170"/>
        <w:jc w:val="both"/>
        <w:rPr>
          <w:rFonts w:cstheme="minorHAnsi"/>
        </w:rPr>
      </w:pPr>
      <w:bookmarkStart w:id="3" w:name="_Hlk157965672"/>
      <w:r w:rsidRPr="002F7079">
        <w:rPr>
          <w:rFonts w:cstheme="minorHAnsi"/>
        </w:rPr>
        <w:t xml:space="preserve">Os dados extraídos dos artigos foram analisados por dois revisores independentes, </w:t>
      </w:r>
      <w:r w:rsidR="009D1729" w:rsidRPr="002F7079">
        <w:rPr>
          <w:rFonts w:cstheme="minorHAnsi"/>
        </w:rPr>
        <w:t>recorrendo a</w:t>
      </w:r>
      <w:r w:rsidRPr="002F7079">
        <w:rPr>
          <w:rFonts w:cstheme="minorHAnsi"/>
        </w:rPr>
        <w:t xml:space="preserve"> um instrumento tabelar</w:t>
      </w:r>
      <w:r w:rsidR="009D1729" w:rsidRPr="002F7079">
        <w:rPr>
          <w:rFonts w:cstheme="minorHAnsi"/>
        </w:rPr>
        <w:t xml:space="preserve"> </w:t>
      </w:r>
      <w:r w:rsidRPr="002F7079">
        <w:rPr>
          <w:rFonts w:cstheme="minorHAnsi"/>
        </w:rPr>
        <w:t xml:space="preserve">de extração de dados </w:t>
      </w:r>
      <w:r w:rsidRPr="002F7079">
        <w:rPr>
          <w:rFonts w:cstheme="minorHAnsi"/>
        </w:rPr>
        <w:t>desenvolvid</w:t>
      </w:r>
      <w:r w:rsidR="004E0AC4" w:rsidRPr="002F7079">
        <w:rPr>
          <w:rFonts w:cstheme="minorHAnsi"/>
        </w:rPr>
        <w:t xml:space="preserve">o para sumarizar as </w:t>
      </w:r>
      <w:r w:rsidRPr="002F7079">
        <w:rPr>
          <w:rFonts w:cstheme="minorHAnsi"/>
        </w:rPr>
        <w:t>principais descobertas relevantes para a questão de revisão</w:t>
      </w:r>
      <w:bookmarkEnd w:id="3"/>
      <w:r w:rsidRPr="002F7079">
        <w:rPr>
          <w:rFonts w:cstheme="minorHAnsi"/>
        </w:rPr>
        <w:t xml:space="preserve">. </w:t>
      </w:r>
    </w:p>
    <w:p w14:paraId="6B750C60" w14:textId="77777777" w:rsidR="002F7079" w:rsidRDefault="00D260D8" w:rsidP="002F7079">
      <w:pPr>
        <w:spacing w:after="0" w:line="360" w:lineRule="auto"/>
        <w:ind w:left="-170" w:right="-170"/>
        <w:jc w:val="both"/>
        <w:rPr>
          <w:rFonts w:cstheme="minorHAnsi"/>
        </w:rPr>
        <w:sectPr w:rsidR="002F7079" w:rsidSect="002F7079">
          <w:type w:val="continuous"/>
          <w:pgSz w:w="11906" w:h="16838"/>
          <w:pgMar w:top="1135" w:right="1080" w:bottom="568" w:left="1080" w:header="709" w:footer="709" w:gutter="0"/>
          <w:cols w:num="2" w:space="708"/>
          <w:titlePg/>
          <w:docGrid w:linePitch="360"/>
        </w:sectPr>
      </w:pPr>
      <w:r w:rsidRPr="002F7079">
        <w:rPr>
          <w:rFonts w:cstheme="minorHAnsi"/>
        </w:rPr>
        <w:t xml:space="preserve">A apresentação dos resultados </w:t>
      </w:r>
      <w:r w:rsidR="009D1729" w:rsidRPr="002F7079">
        <w:rPr>
          <w:rFonts w:cstheme="minorHAnsi"/>
        </w:rPr>
        <w:t>foi</w:t>
      </w:r>
      <w:r w:rsidRPr="002F7079">
        <w:rPr>
          <w:rFonts w:cstheme="minorHAnsi"/>
        </w:rPr>
        <w:t xml:space="preserve"> realizada em texto corrido e esquematizado (</w:t>
      </w:r>
      <w:r w:rsidR="00001860" w:rsidRPr="002F7079">
        <w:rPr>
          <w:rFonts w:cstheme="minorHAnsi"/>
        </w:rPr>
        <w:t>Tabela</w:t>
      </w:r>
      <w:r w:rsidRPr="002F7079">
        <w:rPr>
          <w:rFonts w:cstheme="minorHAnsi"/>
        </w:rPr>
        <w:t xml:space="preserve"> </w:t>
      </w:r>
      <w:r w:rsidR="003C60D9" w:rsidRPr="002F7079">
        <w:rPr>
          <w:rFonts w:cstheme="minorHAnsi"/>
        </w:rPr>
        <w:t>2</w:t>
      </w:r>
      <w:r w:rsidR="00045BF8" w:rsidRPr="002F7079">
        <w:rPr>
          <w:rFonts w:cstheme="minorHAnsi"/>
        </w:rPr>
        <w:t xml:space="preserve"> e </w:t>
      </w:r>
      <w:r w:rsidR="003C60D9" w:rsidRPr="002F7079">
        <w:rPr>
          <w:rFonts w:cstheme="minorHAnsi"/>
        </w:rPr>
        <w:t>3</w:t>
      </w:r>
      <w:r w:rsidR="00045BF8" w:rsidRPr="002F7079">
        <w:rPr>
          <w:rFonts w:cstheme="minorHAnsi"/>
        </w:rPr>
        <w:t>)</w:t>
      </w:r>
      <w:r w:rsidR="00777E9E" w:rsidRPr="002F7079">
        <w:rPr>
          <w:rFonts w:cstheme="minorHAnsi"/>
        </w:rPr>
        <w:t>.</w:t>
      </w:r>
    </w:p>
    <w:p w14:paraId="67AE4D96" w14:textId="314B0A9A" w:rsidR="00EA7573" w:rsidRPr="002F7079" w:rsidRDefault="00AE045E" w:rsidP="002F7079">
      <w:pPr>
        <w:spacing w:after="0" w:line="360" w:lineRule="auto"/>
        <w:jc w:val="both"/>
        <w:rPr>
          <w:rFonts w:cstheme="minorHAnsi"/>
        </w:rPr>
      </w:pPr>
      <w:r w:rsidRPr="002F7079">
        <w:rPr>
          <w:rFonts w:cstheme="minorHAnsi"/>
        </w:rPr>
        <w:t xml:space="preserve"> </w:t>
      </w:r>
      <w:bookmarkStart w:id="4" w:name="_Toc160985774"/>
    </w:p>
    <w:p w14:paraId="01002FCD" w14:textId="7F367834" w:rsidR="00EA7573" w:rsidRPr="002F7079" w:rsidRDefault="008E0E50" w:rsidP="002F7079">
      <w:pPr>
        <w:pStyle w:val="Legenda"/>
        <w:spacing w:line="240" w:lineRule="auto"/>
        <w:ind w:left="-170" w:right="-170"/>
        <w:jc w:val="both"/>
        <w:rPr>
          <w:rFonts w:asciiTheme="minorHAnsi" w:hAnsiTheme="minorHAnsi" w:cstheme="minorHAnsi"/>
          <w:bCs w:val="0"/>
          <w:szCs w:val="22"/>
        </w:rPr>
      </w:pPr>
      <w:r w:rsidRPr="002F7079">
        <w:rPr>
          <w:rFonts w:asciiTheme="minorHAnsi" w:hAnsiTheme="minorHAnsi" w:cstheme="minorHAnsi"/>
          <w:bCs w:val="0"/>
          <w:szCs w:val="22"/>
        </w:rPr>
        <w:t>Tabela</w:t>
      </w:r>
      <w:r w:rsidR="002450C7" w:rsidRPr="002F7079">
        <w:rPr>
          <w:rFonts w:asciiTheme="minorHAnsi" w:hAnsiTheme="minorHAnsi" w:cstheme="minorHAnsi"/>
          <w:bCs w:val="0"/>
          <w:szCs w:val="22"/>
        </w:rPr>
        <w:t xml:space="preserve"> </w:t>
      </w:r>
      <w:r w:rsidR="003C60D9" w:rsidRPr="002F7079">
        <w:rPr>
          <w:rFonts w:asciiTheme="minorHAnsi" w:hAnsiTheme="minorHAnsi" w:cstheme="minorHAnsi"/>
          <w:bCs w:val="0"/>
          <w:szCs w:val="22"/>
        </w:rPr>
        <w:t>2</w:t>
      </w:r>
    </w:p>
    <w:p w14:paraId="387E7EFA" w14:textId="3A87A636" w:rsidR="008B6DCF" w:rsidRPr="002F7079" w:rsidRDefault="008B6DCF" w:rsidP="00711372">
      <w:pPr>
        <w:pStyle w:val="Legenda"/>
        <w:spacing w:after="120" w:line="240" w:lineRule="auto"/>
        <w:ind w:left="-170" w:right="-170"/>
        <w:jc w:val="both"/>
        <w:rPr>
          <w:rFonts w:asciiTheme="minorHAnsi" w:hAnsiTheme="minorHAnsi" w:cstheme="minorHAnsi"/>
          <w:bCs w:val="0"/>
          <w:szCs w:val="22"/>
        </w:rPr>
      </w:pPr>
      <w:r w:rsidRPr="002F7079">
        <w:rPr>
          <w:rFonts w:asciiTheme="minorHAnsi" w:hAnsiTheme="minorHAnsi" w:cstheme="minorHAnsi"/>
          <w:bCs w:val="0"/>
          <w:szCs w:val="22"/>
        </w:rPr>
        <w:t>Fatores de risco de ILC não modificáveis</w:t>
      </w:r>
      <w:bookmarkEnd w:id="4"/>
    </w:p>
    <w:tbl>
      <w:tblPr>
        <w:tblStyle w:val="TabelacomGrelha"/>
        <w:tblW w:w="9900" w:type="dxa"/>
        <w:tblInd w:w="-142" w:type="dxa"/>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793"/>
        <w:gridCol w:w="1554"/>
        <w:gridCol w:w="1735"/>
        <w:gridCol w:w="1558"/>
        <w:gridCol w:w="3260"/>
      </w:tblGrid>
      <w:tr w:rsidR="002F7079" w:rsidRPr="002F7079" w14:paraId="06090DBF" w14:textId="77777777" w:rsidTr="002F7079">
        <w:trPr>
          <w:cantSplit/>
          <w:trHeight w:val="20"/>
        </w:trPr>
        <w:tc>
          <w:tcPr>
            <w:tcW w:w="1793" w:type="dxa"/>
            <w:shd w:val="clear" w:color="auto" w:fill="FFFFFF" w:themeFill="background1"/>
            <w:vAlign w:val="center"/>
          </w:tcPr>
          <w:p w14:paraId="309D34CF" w14:textId="77777777" w:rsidR="008B6DCF" w:rsidRPr="002F7079" w:rsidRDefault="008B6DCF" w:rsidP="00EA7573">
            <w:pPr>
              <w:jc w:val="center"/>
              <w:rPr>
                <w:rFonts w:cstheme="minorHAnsi"/>
                <w:sz w:val="18"/>
                <w:szCs w:val="18"/>
              </w:rPr>
            </w:pPr>
            <w:r w:rsidRPr="002F7079">
              <w:rPr>
                <w:rFonts w:cstheme="minorHAnsi"/>
                <w:sz w:val="18"/>
                <w:szCs w:val="18"/>
              </w:rPr>
              <w:t>FATORES</w:t>
            </w:r>
          </w:p>
        </w:tc>
        <w:tc>
          <w:tcPr>
            <w:tcW w:w="1554" w:type="dxa"/>
            <w:shd w:val="clear" w:color="auto" w:fill="FFFFFF" w:themeFill="background1"/>
            <w:vAlign w:val="center"/>
          </w:tcPr>
          <w:p w14:paraId="19FFC164" w14:textId="77777777" w:rsidR="008B6DCF" w:rsidRPr="002F7079" w:rsidRDefault="008B6DCF" w:rsidP="00EA7573">
            <w:pPr>
              <w:jc w:val="center"/>
              <w:rPr>
                <w:rFonts w:cstheme="minorHAnsi"/>
                <w:sz w:val="18"/>
                <w:szCs w:val="18"/>
              </w:rPr>
            </w:pPr>
            <w:r w:rsidRPr="002F7079">
              <w:rPr>
                <w:rFonts w:cstheme="minorHAnsi"/>
                <w:sz w:val="18"/>
                <w:szCs w:val="18"/>
              </w:rPr>
              <w:t>PRÉ-OPERATÓRIO</w:t>
            </w:r>
          </w:p>
        </w:tc>
        <w:tc>
          <w:tcPr>
            <w:tcW w:w="1735" w:type="dxa"/>
            <w:shd w:val="clear" w:color="auto" w:fill="FFFFFF" w:themeFill="background1"/>
            <w:vAlign w:val="center"/>
          </w:tcPr>
          <w:p w14:paraId="03AAEB27" w14:textId="77777777" w:rsidR="008B6DCF" w:rsidRPr="002F7079" w:rsidRDefault="008B6DCF" w:rsidP="00EA7573">
            <w:pPr>
              <w:jc w:val="center"/>
              <w:rPr>
                <w:rFonts w:cstheme="minorHAnsi"/>
                <w:sz w:val="18"/>
                <w:szCs w:val="18"/>
              </w:rPr>
            </w:pPr>
            <w:r w:rsidRPr="002F7079">
              <w:rPr>
                <w:rFonts w:cstheme="minorHAnsi"/>
                <w:sz w:val="18"/>
                <w:szCs w:val="18"/>
              </w:rPr>
              <w:t>INTRA-OPERATÓRIO</w:t>
            </w:r>
          </w:p>
        </w:tc>
        <w:tc>
          <w:tcPr>
            <w:tcW w:w="1558" w:type="dxa"/>
            <w:shd w:val="clear" w:color="auto" w:fill="FFFFFF" w:themeFill="background1"/>
            <w:vAlign w:val="center"/>
          </w:tcPr>
          <w:p w14:paraId="4F0BF821" w14:textId="77777777" w:rsidR="008B6DCF" w:rsidRPr="002F7079" w:rsidRDefault="008B6DCF" w:rsidP="00EA7573">
            <w:pPr>
              <w:jc w:val="center"/>
              <w:rPr>
                <w:rFonts w:cstheme="minorHAnsi"/>
                <w:sz w:val="18"/>
                <w:szCs w:val="18"/>
              </w:rPr>
            </w:pPr>
            <w:r w:rsidRPr="002F7079">
              <w:rPr>
                <w:rFonts w:cstheme="minorHAnsi"/>
                <w:sz w:val="18"/>
                <w:szCs w:val="18"/>
              </w:rPr>
              <w:t>PÓS OPERATÓRIO</w:t>
            </w:r>
          </w:p>
        </w:tc>
        <w:tc>
          <w:tcPr>
            <w:tcW w:w="3260" w:type="dxa"/>
            <w:shd w:val="clear" w:color="auto" w:fill="FFFFFF" w:themeFill="background1"/>
            <w:vAlign w:val="center"/>
          </w:tcPr>
          <w:p w14:paraId="193AF656" w14:textId="42808F87" w:rsidR="008B6DCF" w:rsidRPr="002F7079" w:rsidRDefault="00045BF8" w:rsidP="00EA7573">
            <w:pPr>
              <w:jc w:val="center"/>
              <w:rPr>
                <w:rFonts w:cstheme="minorHAnsi"/>
                <w:sz w:val="18"/>
                <w:szCs w:val="18"/>
              </w:rPr>
            </w:pPr>
            <w:r w:rsidRPr="002F7079">
              <w:rPr>
                <w:rFonts w:cstheme="minorHAnsi"/>
                <w:sz w:val="18"/>
                <w:szCs w:val="18"/>
              </w:rPr>
              <w:t xml:space="preserve">AUTORES DOS </w:t>
            </w:r>
            <w:r w:rsidR="008B6DCF" w:rsidRPr="002F7079">
              <w:rPr>
                <w:rFonts w:cstheme="minorHAnsi"/>
                <w:sz w:val="18"/>
                <w:szCs w:val="18"/>
              </w:rPr>
              <w:t>ESTUDOS</w:t>
            </w:r>
          </w:p>
        </w:tc>
      </w:tr>
      <w:tr w:rsidR="002F7079" w:rsidRPr="00AF0BBB" w14:paraId="00F31E2A" w14:textId="77777777" w:rsidTr="002F7079">
        <w:trPr>
          <w:cantSplit/>
          <w:trHeight w:val="227"/>
        </w:trPr>
        <w:tc>
          <w:tcPr>
            <w:tcW w:w="1793" w:type="dxa"/>
            <w:vMerge w:val="restart"/>
            <w:shd w:val="clear" w:color="auto" w:fill="FFFFFF" w:themeFill="background1"/>
            <w:vAlign w:val="center"/>
          </w:tcPr>
          <w:p w14:paraId="24611D53" w14:textId="77777777" w:rsidR="008B6DCF" w:rsidRPr="002F7079" w:rsidRDefault="008B6DCF" w:rsidP="00EA7573">
            <w:pPr>
              <w:rPr>
                <w:rFonts w:cstheme="minorHAnsi"/>
                <w:sz w:val="18"/>
                <w:szCs w:val="18"/>
              </w:rPr>
            </w:pPr>
            <w:r w:rsidRPr="002F7079">
              <w:rPr>
                <w:rFonts w:cstheme="minorHAnsi"/>
                <w:sz w:val="18"/>
                <w:szCs w:val="18"/>
              </w:rPr>
              <w:t>Demográficos</w:t>
            </w:r>
          </w:p>
        </w:tc>
        <w:tc>
          <w:tcPr>
            <w:tcW w:w="4847" w:type="dxa"/>
            <w:gridSpan w:val="3"/>
            <w:shd w:val="clear" w:color="auto" w:fill="FFFFFF" w:themeFill="background1"/>
            <w:vAlign w:val="center"/>
          </w:tcPr>
          <w:p w14:paraId="3CAEB0D3" w14:textId="77777777" w:rsidR="008B6DCF" w:rsidRPr="002F7079" w:rsidRDefault="008B6DCF" w:rsidP="00EA7573">
            <w:pPr>
              <w:jc w:val="center"/>
              <w:rPr>
                <w:rFonts w:cstheme="minorHAnsi"/>
                <w:sz w:val="18"/>
                <w:szCs w:val="18"/>
              </w:rPr>
            </w:pPr>
            <w:r w:rsidRPr="002F7079">
              <w:rPr>
                <w:rFonts w:cstheme="minorHAnsi"/>
                <w:sz w:val="18"/>
                <w:szCs w:val="18"/>
              </w:rPr>
              <w:t>Género Masculino</w:t>
            </w:r>
          </w:p>
        </w:tc>
        <w:tc>
          <w:tcPr>
            <w:tcW w:w="3260" w:type="dxa"/>
            <w:shd w:val="clear" w:color="auto" w:fill="FFFFFF" w:themeFill="background1"/>
            <w:vAlign w:val="center"/>
          </w:tcPr>
          <w:p w14:paraId="14C266EC" w14:textId="2E83B19B" w:rsidR="008B6DCF" w:rsidRPr="002F7079" w:rsidRDefault="00045BF8" w:rsidP="00EA7573">
            <w:pPr>
              <w:jc w:val="center"/>
              <w:rPr>
                <w:rFonts w:cstheme="minorHAnsi"/>
                <w:sz w:val="18"/>
                <w:szCs w:val="18"/>
                <w:lang w:val="en-US"/>
              </w:rPr>
            </w:pPr>
            <w:r w:rsidRPr="002F7079">
              <w:rPr>
                <w:rFonts w:cs="Calibri"/>
                <w:sz w:val="18"/>
                <w:szCs w:val="18"/>
                <w:lang w:val="en-US"/>
              </w:rPr>
              <w:t>(Bischoff et al, 2023; Baier et al, 2019; Ko et al, 2021; Sodhi et al, 2020)</w:t>
            </w:r>
          </w:p>
        </w:tc>
      </w:tr>
      <w:tr w:rsidR="002F7079" w:rsidRPr="002F7079" w14:paraId="6F0CF8BA" w14:textId="77777777" w:rsidTr="002F7079">
        <w:trPr>
          <w:cantSplit/>
          <w:trHeight w:val="20"/>
        </w:trPr>
        <w:tc>
          <w:tcPr>
            <w:tcW w:w="1793" w:type="dxa"/>
            <w:vMerge/>
            <w:shd w:val="clear" w:color="auto" w:fill="FFFFFF" w:themeFill="background1"/>
            <w:vAlign w:val="center"/>
          </w:tcPr>
          <w:p w14:paraId="09D8EE1A" w14:textId="77777777" w:rsidR="008B6DCF" w:rsidRPr="002F7079" w:rsidRDefault="008B6DCF" w:rsidP="00EA7573">
            <w:pPr>
              <w:rPr>
                <w:rFonts w:cstheme="minorHAnsi"/>
                <w:sz w:val="18"/>
                <w:szCs w:val="18"/>
                <w:lang w:val="en-US"/>
              </w:rPr>
            </w:pPr>
          </w:p>
        </w:tc>
        <w:tc>
          <w:tcPr>
            <w:tcW w:w="4847" w:type="dxa"/>
            <w:gridSpan w:val="3"/>
            <w:shd w:val="clear" w:color="auto" w:fill="FFFFFF" w:themeFill="background1"/>
            <w:vAlign w:val="center"/>
          </w:tcPr>
          <w:p w14:paraId="623321CD" w14:textId="77777777" w:rsidR="008B6DCF" w:rsidRPr="002F7079" w:rsidRDefault="008B6DCF" w:rsidP="00EA7573">
            <w:pPr>
              <w:jc w:val="center"/>
              <w:rPr>
                <w:rFonts w:cstheme="minorHAnsi"/>
                <w:sz w:val="18"/>
                <w:szCs w:val="18"/>
              </w:rPr>
            </w:pPr>
            <w:r w:rsidRPr="002F7079">
              <w:rPr>
                <w:rFonts w:cstheme="minorHAnsi"/>
                <w:sz w:val="18"/>
                <w:szCs w:val="18"/>
              </w:rPr>
              <w:t>Idade ≥ 80 anos</w:t>
            </w:r>
          </w:p>
        </w:tc>
        <w:tc>
          <w:tcPr>
            <w:tcW w:w="3260" w:type="dxa"/>
            <w:shd w:val="clear" w:color="auto" w:fill="FFFFFF" w:themeFill="background1"/>
            <w:vAlign w:val="center"/>
          </w:tcPr>
          <w:p w14:paraId="5EA4B051" w14:textId="09B609F1" w:rsidR="008B6DCF" w:rsidRPr="002F7079" w:rsidRDefault="00045BF8" w:rsidP="00EA7573">
            <w:pPr>
              <w:jc w:val="center"/>
              <w:rPr>
                <w:rFonts w:cstheme="minorHAnsi"/>
                <w:sz w:val="18"/>
                <w:szCs w:val="18"/>
              </w:rPr>
            </w:pPr>
            <w:r w:rsidRPr="002F7079">
              <w:rPr>
                <w:rFonts w:cs="Calibri"/>
                <w:sz w:val="18"/>
                <w:szCs w:val="18"/>
                <w:lang w:val="en-US"/>
              </w:rPr>
              <w:t>(Bischoff et al, 2023)</w:t>
            </w:r>
          </w:p>
        </w:tc>
      </w:tr>
      <w:tr w:rsidR="002F7079" w:rsidRPr="002F7079" w14:paraId="7B33D9D8" w14:textId="77777777" w:rsidTr="002F7079">
        <w:trPr>
          <w:cantSplit/>
          <w:trHeight w:val="344"/>
        </w:trPr>
        <w:tc>
          <w:tcPr>
            <w:tcW w:w="1793" w:type="dxa"/>
            <w:shd w:val="clear" w:color="auto" w:fill="FFFFFF" w:themeFill="background1"/>
          </w:tcPr>
          <w:p w14:paraId="5FAEE796" w14:textId="51F51811" w:rsidR="008B6DCF" w:rsidRPr="002F7079" w:rsidRDefault="008277DA" w:rsidP="00EA7573">
            <w:pPr>
              <w:jc w:val="both"/>
              <w:rPr>
                <w:rFonts w:cstheme="minorHAnsi"/>
                <w:sz w:val="18"/>
                <w:szCs w:val="18"/>
              </w:rPr>
            </w:pPr>
            <w:r w:rsidRPr="002F7079">
              <w:rPr>
                <w:rFonts w:cstheme="minorHAnsi"/>
                <w:sz w:val="18"/>
                <w:szCs w:val="18"/>
                <w:shd w:val="clear" w:color="auto" w:fill="FFFFFF"/>
              </w:rPr>
              <w:t xml:space="preserve">Classificação da </w:t>
            </w:r>
            <w:proofErr w:type="spellStart"/>
            <w:r w:rsidRPr="002F7079">
              <w:rPr>
                <w:rFonts w:cstheme="minorHAnsi"/>
                <w:sz w:val="18"/>
                <w:szCs w:val="18"/>
                <w:shd w:val="clear" w:color="auto" w:fill="FFFFFF"/>
              </w:rPr>
              <w:t>American</w:t>
            </w:r>
            <w:proofErr w:type="spellEnd"/>
            <w:r w:rsidRPr="002F7079">
              <w:rPr>
                <w:rFonts w:cstheme="minorHAnsi"/>
                <w:sz w:val="18"/>
                <w:szCs w:val="18"/>
                <w:shd w:val="clear" w:color="auto" w:fill="FFFFFF"/>
              </w:rPr>
              <w:t xml:space="preserve"> </w:t>
            </w:r>
            <w:proofErr w:type="spellStart"/>
            <w:r w:rsidRPr="002F7079">
              <w:rPr>
                <w:rFonts w:cstheme="minorHAnsi"/>
                <w:sz w:val="18"/>
                <w:szCs w:val="18"/>
                <w:shd w:val="clear" w:color="auto" w:fill="FFFFFF"/>
              </w:rPr>
              <w:t>Society</w:t>
            </w:r>
            <w:proofErr w:type="spellEnd"/>
            <w:r w:rsidRPr="002F7079">
              <w:rPr>
                <w:rFonts w:cstheme="minorHAnsi"/>
                <w:sz w:val="18"/>
                <w:szCs w:val="18"/>
                <w:shd w:val="clear" w:color="auto" w:fill="FFFFFF"/>
              </w:rPr>
              <w:t xml:space="preserve"> </w:t>
            </w:r>
            <w:proofErr w:type="spellStart"/>
            <w:r w:rsidRPr="002F7079">
              <w:rPr>
                <w:rFonts w:cstheme="minorHAnsi"/>
                <w:sz w:val="18"/>
                <w:szCs w:val="18"/>
                <w:shd w:val="clear" w:color="auto" w:fill="FFFFFF"/>
              </w:rPr>
              <w:t>of</w:t>
            </w:r>
            <w:proofErr w:type="spellEnd"/>
            <w:r w:rsidRPr="002F7079">
              <w:rPr>
                <w:rFonts w:cstheme="minorHAnsi"/>
                <w:sz w:val="18"/>
                <w:szCs w:val="18"/>
                <w:shd w:val="clear" w:color="auto" w:fill="FFFFFF"/>
              </w:rPr>
              <w:t xml:space="preserve"> </w:t>
            </w:r>
            <w:proofErr w:type="spellStart"/>
            <w:r w:rsidRPr="002F7079">
              <w:rPr>
                <w:rFonts w:cstheme="minorHAnsi"/>
                <w:sz w:val="18"/>
                <w:szCs w:val="18"/>
                <w:shd w:val="clear" w:color="auto" w:fill="FFFFFF"/>
              </w:rPr>
              <w:t>Anesthesiology</w:t>
            </w:r>
            <w:proofErr w:type="spellEnd"/>
            <w:r w:rsidRPr="002F7079">
              <w:rPr>
                <w:rFonts w:cstheme="minorHAnsi"/>
                <w:sz w:val="18"/>
                <w:szCs w:val="18"/>
                <w:shd w:val="clear" w:color="auto" w:fill="FFFFFF"/>
              </w:rPr>
              <w:t xml:space="preserve"> (</w:t>
            </w:r>
            <w:r w:rsidR="008B6DCF" w:rsidRPr="002F7079">
              <w:rPr>
                <w:rFonts w:cstheme="minorHAnsi"/>
                <w:sz w:val="18"/>
                <w:szCs w:val="18"/>
              </w:rPr>
              <w:t>ASA</w:t>
            </w:r>
            <w:r w:rsidRPr="002F7079">
              <w:rPr>
                <w:rFonts w:cstheme="minorHAnsi"/>
                <w:sz w:val="18"/>
                <w:szCs w:val="18"/>
              </w:rPr>
              <w:t>)</w:t>
            </w:r>
          </w:p>
        </w:tc>
        <w:tc>
          <w:tcPr>
            <w:tcW w:w="1554" w:type="dxa"/>
            <w:shd w:val="clear" w:color="auto" w:fill="FFFFFF" w:themeFill="background1"/>
            <w:vAlign w:val="bottom"/>
          </w:tcPr>
          <w:p w14:paraId="53F7549C" w14:textId="77777777" w:rsidR="008B6DCF" w:rsidRPr="002F7079" w:rsidRDefault="008B6DCF" w:rsidP="00EA7573">
            <w:pPr>
              <w:jc w:val="center"/>
              <w:rPr>
                <w:rFonts w:cstheme="minorHAnsi"/>
                <w:sz w:val="18"/>
                <w:szCs w:val="18"/>
              </w:rPr>
            </w:pPr>
            <w:r w:rsidRPr="002F7079">
              <w:rPr>
                <w:rFonts w:cstheme="minorHAnsi"/>
                <w:sz w:val="18"/>
                <w:szCs w:val="18"/>
              </w:rPr>
              <w:t>&gt;ASA II</w:t>
            </w:r>
          </w:p>
        </w:tc>
        <w:tc>
          <w:tcPr>
            <w:tcW w:w="3293" w:type="dxa"/>
            <w:gridSpan w:val="2"/>
            <w:shd w:val="clear" w:color="auto" w:fill="FFFFFF" w:themeFill="background1"/>
            <w:vAlign w:val="center"/>
          </w:tcPr>
          <w:p w14:paraId="5275CCD2" w14:textId="77777777" w:rsidR="008B6DCF" w:rsidRPr="002F7079" w:rsidRDefault="008B6DCF" w:rsidP="00EA7573">
            <w:pPr>
              <w:jc w:val="center"/>
              <w:rPr>
                <w:rFonts w:cstheme="minorHAnsi"/>
                <w:sz w:val="18"/>
                <w:szCs w:val="18"/>
              </w:rPr>
            </w:pPr>
          </w:p>
        </w:tc>
        <w:tc>
          <w:tcPr>
            <w:tcW w:w="3260" w:type="dxa"/>
            <w:shd w:val="clear" w:color="auto" w:fill="FFFFFF" w:themeFill="background1"/>
          </w:tcPr>
          <w:p w14:paraId="0C3F8090" w14:textId="532560F6" w:rsidR="008B6DCF" w:rsidRPr="002F7079" w:rsidRDefault="00045BF8" w:rsidP="00EA7573">
            <w:pPr>
              <w:jc w:val="center"/>
              <w:rPr>
                <w:rFonts w:cstheme="minorHAnsi"/>
                <w:sz w:val="18"/>
                <w:szCs w:val="18"/>
              </w:rPr>
            </w:pPr>
            <w:r w:rsidRPr="002F7079">
              <w:rPr>
                <w:rFonts w:cs="Calibri"/>
                <w:sz w:val="18"/>
                <w:szCs w:val="18"/>
                <w:lang w:val="en-US"/>
              </w:rPr>
              <w:t>(Bischoff et al, 2023)</w:t>
            </w:r>
          </w:p>
        </w:tc>
      </w:tr>
      <w:tr w:rsidR="002F7079" w:rsidRPr="002F7079" w14:paraId="04EDDA6F" w14:textId="77777777" w:rsidTr="002F7079">
        <w:trPr>
          <w:cantSplit/>
          <w:trHeight w:val="274"/>
        </w:trPr>
        <w:tc>
          <w:tcPr>
            <w:tcW w:w="1793" w:type="dxa"/>
            <w:shd w:val="clear" w:color="auto" w:fill="FFFFFF" w:themeFill="background1"/>
            <w:vAlign w:val="center"/>
          </w:tcPr>
          <w:p w14:paraId="0F3922E4" w14:textId="77777777" w:rsidR="008B6DCF" w:rsidRPr="002F7079" w:rsidRDefault="008B6DCF" w:rsidP="00EA7573">
            <w:pPr>
              <w:rPr>
                <w:rFonts w:cstheme="minorHAnsi"/>
                <w:sz w:val="18"/>
                <w:szCs w:val="18"/>
              </w:rPr>
            </w:pPr>
            <w:r w:rsidRPr="002F7079">
              <w:rPr>
                <w:rFonts w:cstheme="minorHAnsi"/>
                <w:sz w:val="18"/>
                <w:szCs w:val="18"/>
              </w:rPr>
              <w:t>Sensibilidade à Dor</w:t>
            </w:r>
          </w:p>
        </w:tc>
        <w:tc>
          <w:tcPr>
            <w:tcW w:w="4847" w:type="dxa"/>
            <w:gridSpan w:val="3"/>
            <w:shd w:val="clear" w:color="auto" w:fill="FFFFFF" w:themeFill="background1"/>
            <w:vAlign w:val="center"/>
          </w:tcPr>
          <w:p w14:paraId="1DFC3C34" w14:textId="77777777" w:rsidR="008B6DCF" w:rsidRPr="002F7079" w:rsidRDefault="008B6DCF" w:rsidP="00EA7573">
            <w:pPr>
              <w:jc w:val="center"/>
              <w:rPr>
                <w:rFonts w:cstheme="minorHAnsi"/>
                <w:sz w:val="18"/>
                <w:szCs w:val="18"/>
              </w:rPr>
            </w:pPr>
            <w:r w:rsidRPr="002F7079">
              <w:rPr>
                <w:rFonts w:cstheme="minorHAnsi"/>
                <w:sz w:val="18"/>
                <w:szCs w:val="18"/>
              </w:rPr>
              <w:t>Sensibilização central aumentada</w:t>
            </w:r>
          </w:p>
        </w:tc>
        <w:tc>
          <w:tcPr>
            <w:tcW w:w="3260" w:type="dxa"/>
            <w:shd w:val="clear" w:color="auto" w:fill="FFFFFF" w:themeFill="background1"/>
            <w:vAlign w:val="center"/>
          </w:tcPr>
          <w:p w14:paraId="709E5348" w14:textId="28CF993C" w:rsidR="008B6DCF" w:rsidRPr="002F7079" w:rsidRDefault="00045BF8" w:rsidP="00EA7573">
            <w:pPr>
              <w:jc w:val="center"/>
              <w:rPr>
                <w:rFonts w:cstheme="minorHAnsi"/>
                <w:sz w:val="18"/>
                <w:szCs w:val="18"/>
              </w:rPr>
            </w:pPr>
            <w:r w:rsidRPr="002F7079">
              <w:rPr>
                <w:rFonts w:cs="Calibri"/>
                <w:sz w:val="18"/>
                <w:szCs w:val="18"/>
                <w:lang w:val="en-US"/>
              </w:rPr>
              <w:t>(Kim et al, 2018)</w:t>
            </w:r>
          </w:p>
        </w:tc>
      </w:tr>
      <w:tr w:rsidR="002F7079" w:rsidRPr="002F7079" w14:paraId="733D402B" w14:textId="77777777" w:rsidTr="002F7079">
        <w:trPr>
          <w:cantSplit/>
          <w:trHeight w:val="299"/>
        </w:trPr>
        <w:tc>
          <w:tcPr>
            <w:tcW w:w="1793" w:type="dxa"/>
            <w:shd w:val="clear" w:color="auto" w:fill="FFFFFF" w:themeFill="background1"/>
            <w:vAlign w:val="center"/>
          </w:tcPr>
          <w:p w14:paraId="33E18FBE" w14:textId="77777777" w:rsidR="008B6DCF" w:rsidRPr="002F7079" w:rsidRDefault="008B6DCF" w:rsidP="00EA7573">
            <w:pPr>
              <w:rPr>
                <w:rFonts w:cstheme="minorHAnsi"/>
                <w:sz w:val="18"/>
                <w:szCs w:val="18"/>
              </w:rPr>
            </w:pPr>
            <w:r w:rsidRPr="002F7079">
              <w:rPr>
                <w:rFonts w:cstheme="minorHAnsi"/>
                <w:sz w:val="18"/>
                <w:szCs w:val="18"/>
              </w:rPr>
              <w:t>Económicos</w:t>
            </w:r>
          </w:p>
        </w:tc>
        <w:tc>
          <w:tcPr>
            <w:tcW w:w="4847" w:type="dxa"/>
            <w:gridSpan w:val="3"/>
            <w:shd w:val="clear" w:color="auto" w:fill="FFFFFF" w:themeFill="background1"/>
            <w:vAlign w:val="center"/>
          </w:tcPr>
          <w:p w14:paraId="6F54476F" w14:textId="265E6F3C" w:rsidR="008B6DCF" w:rsidRPr="002F7079" w:rsidRDefault="008B6DCF" w:rsidP="00EA7573">
            <w:pPr>
              <w:jc w:val="center"/>
              <w:rPr>
                <w:rFonts w:cstheme="minorHAnsi"/>
                <w:sz w:val="18"/>
                <w:szCs w:val="18"/>
              </w:rPr>
            </w:pPr>
            <w:r w:rsidRPr="002F7079">
              <w:rPr>
                <w:rFonts w:cstheme="minorHAnsi"/>
                <w:sz w:val="18"/>
                <w:szCs w:val="18"/>
              </w:rPr>
              <w:t xml:space="preserve">Países </w:t>
            </w:r>
            <w:r w:rsidR="00A65C97" w:rsidRPr="002F7079">
              <w:rPr>
                <w:rFonts w:cstheme="minorHAnsi"/>
                <w:sz w:val="18"/>
                <w:szCs w:val="18"/>
              </w:rPr>
              <w:t>de baixo</w:t>
            </w:r>
            <w:r w:rsidRPr="002F7079">
              <w:rPr>
                <w:rFonts w:cstheme="minorHAnsi"/>
                <w:sz w:val="18"/>
                <w:szCs w:val="18"/>
              </w:rPr>
              <w:t xml:space="preserve"> desenvolvimento socioeconómico baixo</w:t>
            </w:r>
          </w:p>
        </w:tc>
        <w:tc>
          <w:tcPr>
            <w:tcW w:w="3260" w:type="dxa"/>
            <w:shd w:val="clear" w:color="auto" w:fill="FFFFFF" w:themeFill="background1"/>
            <w:vAlign w:val="center"/>
          </w:tcPr>
          <w:p w14:paraId="0F455E3F" w14:textId="71B38B5F" w:rsidR="008B6DCF" w:rsidRPr="002F7079" w:rsidRDefault="00045BF8" w:rsidP="00EA7573">
            <w:pPr>
              <w:jc w:val="center"/>
              <w:rPr>
                <w:rFonts w:cstheme="minorHAnsi"/>
                <w:sz w:val="18"/>
                <w:szCs w:val="18"/>
              </w:rPr>
            </w:pPr>
            <w:r w:rsidRPr="002F7079">
              <w:rPr>
                <w:rFonts w:cs="Calibri"/>
                <w:sz w:val="18"/>
                <w:szCs w:val="18"/>
                <w:lang w:val="en-US"/>
              </w:rPr>
              <w:t>(Marusic et al, 2021)</w:t>
            </w:r>
          </w:p>
        </w:tc>
      </w:tr>
      <w:tr w:rsidR="002F7079" w:rsidRPr="002F7079" w14:paraId="6783D938" w14:textId="77777777" w:rsidTr="002F7079">
        <w:trPr>
          <w:cantSplit/>
          <w:trHeight w:val="20"/>
        </w:trPr>
        <w:tc>
          <w:tcPr>
            <w:tcW w:w="1793" w:type="dxa"/>
            <w:shd w:val="clear" w:color="auto" w:fill="FFFFFF" w:themeFill="background1"/>
            <w:vAlign w:val="center"/>
          </w:tcPr>
          <w:p w14:paraId="0FD3B50C" w14:textId="77777777" w:rsidR="008B6DCF" w:rsidRPr="002F7079" w:rsidRDefault="008B6DCF" w:rsidP="00EA7573">
            <w:pPr>
              <w:rPr>
                <w:rFonts w:cstheme="minorHAnsi"/>
                <w:sz w:val="18"/>
                <w:szCs w:val="18"/>
              </w:rPr>
            </w:pPr>
            <w:r w:rsidRPr="002F7079">
              <w:rPr>
                <w:rFonts w:cstheme="minorHAnsi"/>
                <w:sz w:val="18"/>
                <w:szCs w:val="18"/>
              </w:rPr>
              <w:t>Analíticos</w:t>
            </w:r>
          </w:p>
        </w:tc>
        <w:tc>
          <w:tcPr>
            <w:tcW w:w="4847" w:type="dxa"/>
            <w:gridSpan w:val="3"/>
            <w:shd w:val="clear" w:color="auto" w:fill="FFFFFF" w:themeFill="background1"/>
            <w:vAlign w:val="center"/>
          </w:tcPr>
          <w:p w14:paraId="47D557EA" w14:textId="77777777" w:rsidR="008B6DCF" w:rsidRPr="002F7079" w:rsidRDefault="008B6DCF" w:rsidP="00EA7573">
            <w:pPr>
              <w:jc w:val="center"/>
              <w:rPr>
                <w:rFonts w:cstheme="minorHAnsi"/>
                <w:sz w:val="18"/>
                <w:szCs w:val="18"/>
              </w:rPr>
            </w:pPr>
            <w:r w:rsidRPr="002F7079">
              <w:rPr>
                <w:rFonts w:cstheme="minorHAnsi"/>
                <w:sz w:val="18"/>
                <w:szCs w:val="18"/>
              </w:rPr>
              <w:t>Neutrofilia sérica</w:t>
            </w:r>
          </w:p>
        </w:tc>
        <w:tc>
          <w:tcPr>
            <w:tcW w:w="3260" w:type="dxa"/>
            <w:shd w:val="clear" w:color="auto" w:fill="FFFFFF" w:themeFill="background1"/>
            <w:vAlign w:val="center"/>
          </w:tcPr>
          <w:p w14:paraId="5E9A7B95" w14:textId="71549DD9" w:rsidR="008B6DCF" w:rsidRPr="002F7079" w:rsidRDefault="00045BF8" w:rsidP="00EA7573">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40796CB8" w14:textId="77777777" w:rsidTr="002F7079">
        <w:trPr>
          <w:cantSplit/>
          <w:trHeight w:val="267"/>
        </w:trPr>
        <w:tc>
          <w:tcPr>
            <w:tcW w:w="1793" w:type="dxa"/>
            <w:vMerge w:val="restart"/>
            <w:shd w:val="clear" w:color="auto" w:fill="FFFFFF" w:themeFill="background1"/>
            <w:vAlign w:val="center"/>
          </w:tcPr>
          <w:p w14:paraId="48312E3B" w14:textId="77777777" w:rsidR="008B6DCF" w:rsidRPr="002F7079" w:rsidRDefault="008B6DCF" w:rsidP="00EA7573">
            <w:pPr>
              <w:rPr>
                <w:rFonts w:cstheme="minorHAnsi"/>
                <w:sz w:val="18"/>
                <w:szCs w:val="18"/>
              </w:rPr>
            </w:pPr>
            <w:r w:rsidRPr="002F7079">
              <w:rPr>
                <w:rFonts w:cstheme="minorHAnsi"/>
                <w:sz w:val="18"/>
                <w:szCs w:val="18"/>
              </w:rPr>
              <w:t>Comorbilidades</w:t>
            </w:r>
          </w:p>
        </w:tc>
        <w:tc>
          <w:tcPr>
            <w:tcW w:w="4847" w:type="dxa"/>
            <w:gridSpan w:val="3"/>
            <w:shd w:val="clear" w:color="auto" w:fill="FFFFFF" w:themeFill="background1"/>
            <w:vAlign w:val="center"/>
          </w:tcPr>
          <w:p w14:paraId="21C77510" w14:textId="77777777" w:rsidR="008B6DCF" w:rsidRPr="002F7079" w:rsidRDefault="008B6DCF" w:rsidP="00EA7573">
            <w:pPr>
              <w:jc w:val="center"/>
              <w:rPr>
                <w:rFonts w:cstheme="minorHAnsi"/>
                <w:sz w:val="18"/>
                <w:szCs w:val="18"/>
              </w:rPr>
            </w:pPr>
            <w:r w:rsidRPr="002F7079">
              <w:rPr>
                <w:rFonts w:cstheme="minorHAnsi"/>
                <w:sz w:val="18"/>
                <w:szCs w:val="18"/>
              </w:rPr>
              <w:t>Artrite Reumatoide</w:t>
            </w:r>
          </w:p>
        </w:tc>
        <w:tc>
          <w:tcPr>
            <w:tcW w:w="3260" w:type="dxa"/>
            <w:shd w:val="clear" w:color="auto" w:fill="FFFFFF" w:themeFill="background1"/>
            <w:vAlign w:val="center"/>
          </w:tcPr>
          <w:p w14:paraId="7BE2A24D" w14:textId="5DBB3228" w:rsidR="008B6DCF" w:rsidRPr="002F7079" w:rsidRDefault="00045BF8" w:rsidP="00EA7573">
            <w:pPr>
              <w:jc w:val="center"/>
              <w:rPr>
                <w:rFonts w:cstheme="minorHAnsi"/>
                <w:sz w:val="18"/>
                <w:szCs w:val="18"/>
              </w:rPr>
            </w:pPr>
            <w:r w:rsidRPr="002F7079">
              <w:rPr>
                <w:rFonts w:cs="Calibri"/>
                <w:sz w:val="18"/>
                <w:szCs w:val="18"/>
                <w:lang w:val="en-US"/>
              </w:rPr>
              <w:t>(Sodhi et al, 2020)</w:t>
            </w:r>
          </w:p>
        </w:tc>
      </w:tr>
      <w:tr w:rsidR="002F7079" w:rsidRPr="002F7079" w14:paraId="65C96AB4" w14:textId="77777777" w:rsidTr="002F7079">
        <w:trPr>
          <w:cantSplit/>
          <w:trHeight w:val="174"/>
        </w:trPr>
        <w:tc>
          <w:tcPr>
            <w:tcW w:w="1793" w:type="dxa"/>
            <w:vMerge/>
            <w:shd w:val="clear" w:color="auto" w:fill="FFFFFF" w:themeFill="background1"/>
            <w:vAlign w:val="center"/>
          </w:tcPr>
          <w:p w14:paraId="0D4C955B"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4E0A749D" w14:textId="77777777" w:rsidR="008B6DCF" w:rsidRPr="002F7079" w:rsidRDefault="008B6DCF" w:rsidP="00EA7573">
            <w:pPr>
              <w:jc w:val="center"/>
              <w:rPr>
                <w:rFonts w:cstheme="minorHAnsi"/>
                <w:sz w:val="18"/>
                <w:szCs w:val="18"/>
              </w:rPr>
            </w:pPr>
            <w:r w:rsidRPr="002F7079">
              <w:rPr>
                <w:rFonts w:cstheme="minorHAnsi"/>
                <w:sz w:val="18"/>
                <w:szCs w:val="18"/>
              </w:rPr>
              <w:t>Displasia Músculo-esquelética</w:t>
            </w:r>
          </w:p>
        </w:tc>
        <w:tc>
          <w:tcPr>
            <w:tcW w:w="3260" w:type="dxa"/>
            <w:shd w:val="clear" w:color="auto" w:fill="FFFFFF" w:themeFill="background1"/>
            <w:vAlign w:val="center"/>
          </w:tcPr>
          <w:p w14:paraId="0228797D" w14:textId="06A8DB13" w:rsidR="008B6DCF" w:rsidRPr="002F7079" w:rsidRDefault="00045BF8" w:rsidP="00EA7573">
            <w:pPr>
              <w:jc w:val="center"/>
              <w:rPr>
                <w:rFonts w:cstheme="minorHAnsi"/>
                <w:sz w:val="18"/>
                <w:szCs w:val="18"/>
              </w:rPr>
            </w:pPr>
            <w:r w:rsidRPr="002F7079">
              <w:rPr>
                <w:rFonts w:cs="Calibri"/>
                <w:sz w:val="18"/>
                <w:szCs w:val="18"/>
                <w:lang w:val="en-US"/>
              </w:rPr>
              <w:t>(Patel et al, 2019)</w:t>
            </w:r>
          </w:p>
        </w:tc>
      </w:tr>
      <w:tr w:rsidR="002F7079" w:rsidRPr="002F7079" w14:paraId="106F9AE8" w14:textId="77777777" w:rsidTr="002F7079">
        <w:trPr>
          <w:cantSplit/>
          <w:trHeight w:val="278"/>
        </w:trPr>
        <w:tc>
          <w:tcPr>
            <w:tcW w:w="1793" w:type="dxa"/>
            <w:vMerge/>
            <w:shd w:val="clear" w:color="auto" w:fill="FFFFFF" w:themeFill="background1"/>
            <w:vAlign w:val="center"/>
          </w:tcPr>
          <w:p w14:paraId="7B0F615E"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18174C29" w14:textId="77777777" w:rsidR="008B6DCF" w:rsidRPr="002F7079" w:rsidRDefault="008B6DCF" w:rsidP="00EA7573">
            <w:pPr>
              <w:jc w:val="center"/>
              <w:rPr>
                <w:rFonts w:cstheme="minorHAnsi"/>
                <w:sz w:val="18"/>
                <w:szCs w:val="18"/>
              </w:rPr>
            </w:pPr>
            <w:r w:rsidRPr="002F7079">
              <w:rPr>
                <w:rFonts w:cstheme="minorHAnsi"/>
                <w:sz w:val="18"/>
                <w:szCs w:val="18"/>
              </w:rPr>
              <w:t>Insuficiência Renal em Diálise</w:t>
            </w:r>
          </w:p>
        </w:tc>
        <w:tc>
          <w:tcPr>
            <w:tcW w:w="3260" w:type="dxa"/>
            <w:shd w:val="clear" w:color="auto" w:fill="FFFFFF" w:themeFill="background1"/>
            <w:vAlign w:val="center"/>
          </w:tcPr>
          <w:p w14:paraId="50D181DB" w14:textId="037BD008" w:rsidR="008B6DCF" w:rsidRPr="002F7079" w:rsidRDefault="00045BF8" w:rsidP="00EA7573">
            <w:pPr>
              <w:jc w:val="center"/>
              <w:rPr>
                <w:rFonts w:cstheme="minorHAnsi"/>
                <w:sz w:val="18"/>
                <w:szCs w:val="18"/>
              </w:rPr>
            </w:pPr>
            <w:r w:rsidRPr="002F7079">
              <w:rPr>
                <w:rFonts w:cs="Calibri"/>
                <w:sz w:val="18"/>
                <w:szCs w:val="18"/>
                <w:lang w:val="en-US"/>
              </w:rPr>
              <w:t>(Browne et al, 2019)</w:t>
            </w:r>
          </w:p>
        </w:tc>
      </w:tr>
      <w:tr w:rsidR="002F7079" w:rsidRPr="002F7079" w14:paraId="2033801E" w14:textId="77777777" w:rsidTr="002F7079">
        <w:trPr>
          <w:cantSplit/>
          <w:trHeight w:val="253"/>
        </w:trPr>
        <w:tc>
          <w:tcPr>
            <w:tcW w:w="1793" w:type="dxa"/>
            <w:vMerge/>
            <w:shd w:val="clear" w:color="auto" w:fill="FFFFFF" w:themeFill="background1"/>
            <w:vAlign w:val="center"/>
          </w:tcPr>
          <w:p w14:paraId="249682C9"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3D241DF4" w14:textId="2981F752" w:rsidR="008B6DCF" w:rsidRPr="002F7079" w:rsidRDefault="008B6DCF" w:rsidP="00EA7573">
            <w:pPr>
              <w:jc w:val="center"/>
              <w:rPr>
                <w:rFonts w:cstheme="minorHAnsi"/>
                <w:sz w:val="18"/>
                <w:szCs w:val="18"/>
              </w:rPr>
            </w:pPr>
            <w:r w:rsidRPr="002F7079">
              <w:rPr>
                <w:rFonts w:cstheme="minorHAnsi"/>
                <w:sz w:val="18"/>
                <w:szCs w:val="18"/>
              </w:rPr>
              <w:t xml:space="preserve">Insuficiência </w:t>
            </w:r>
            <w:r w:rsidR="005F2B90" w:rsidRPr="002F7079">
              <w:rPr>
                <w:rFonts w:cstheme="minorHAnsi"/>
                <w:sz w:val="18"/>
                <w:szCs w:val="18"/>
              </w:rPr>
              <w:t>C</w:t>
            </w:r>
            <w:r w:rsidRPr="002F7079">
              <w:rPr>
                <w:rFonts w:cstheme="minorHAnsi"/>
                <w:sz w:val="18"/>
                <w:szCs w:val="18"/>
              </w:rPr>
              <w:t>ardíaca Congestiva</w:t>
            </w:r>
          </w:p>
        </w:tc>
        <w:tc>
          <w:tcPr>
            <w:tcW w:w="3260" w:type="dxa"/>
            <w:shd w:val="clear" w:color="auto" w:fill="FFFFFF" w:themeFill="background1"/>
            <w:vAlign w:val="center"/>
          </w:tcPr>
          <w:p w14:paraId="2D9DF7AD" w14:textId="1661A326" w:rsidR="008B6DCF" w:rsidRPr="002F7079" w:rsidRDefault="00045BF8" w:rsidP="00EA7573">
            <w:pPr>
              <w:jc w:val="center"/>
              <w:rPr>
                <w:rFonts w:cstheme="minorHAnsi"/>
                <w:sz w:val="18"/>
                <w:szCs w:val="18"/>
              </w:rPr>
            </w:pPr>
            <w:r w:rsidRPr="002F7079">
              <w:rPr>
                <w:rFonts w:cs="Calibri"/>
                <w:sz w:val="18"/>
                <w:szCs w:val="18"/>
                <w:lang w:val="en-US"/>
              </w:rPr>
              <w:t>(Edmiston Jr. et al, 2019)</w:t>
            </w:r>
          </w:p>
        </w:tc>
      </w:tr>
      <w:tr w:rsidR="002F7079" w:rsidRPr="002F7079" w14:paraId="265D54A3" w14:textId="77777777" w:rsidTr="002F7079">
        <w:trPr>
          <w:cantSplit/>
          <w:trHeight w:val="238"/>
        </w:trPr>
        <w:tc>
          <w:tcPr>
            <w:tcW w:w="1793" w:type="dxa"/>
            <w:vMerge/>
            <w:shd w:val="clear" w:color="auto" w:fill="FFFFFF" w:themeFill="background1"/>
            <w:vAlign w:val="center"/>
          </w:tcPr>
          <w:p w14:paraId="72C6B153"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4B8DA05B" w14:textId="77777777" w:rsidR="008B6DCF" w:rsidRPr="002F7079" w:rsidRDefault="008B6DCF" w:rsidP="00EA7573">
            <w:pPr>
              <w:jc w:val="center"/>
              <w:rPr>
                <w:rFonts w:cstheme="minorHAnsi"/>
                <w:sz w:val="18"/>
                <w:szCs w:val="18"/>
              </w:rPr>
            </w:pPr>
            <w:r w:rsidRPr="002F7079">
              <w:rPr>
                <w:rFonts w:cstheme="minorHAnsi"/>
                <w:sz w:val="18"/>
                <w:szCs w:val="18"/>
              </w:rPr>
              <w:t>Coagulopatia</w:t>
            </w:r>
          </w:p>
        </w:tc>
        <w:tc>
          <w:tcPr>
            <w:tcW w:w="3260" w:type="dxa"/>
            <w:shd w:val="clear" w:color="auto" w:fill="FFFFFF" w:themeFill="background1"/>
            <w:vAlign w:val="center"/>
          </w:tcPr>
          <w:p w14:paraId="134DAFC8" w14:textId="03E0E09B" w:rsidR="008B6DCF" w:rsidRPr="002F7079" w:rsidRDefault="00045BF8" w:rsidP="00EA7573">
            <w:pPr>
              <w:jc w:val="center"/>
              <w:rPr>
                <w:rFonts w:cstheme="minorHAnsi"/>
                <w:sz w:val="18"/>
                <w:szCs w:val="18"/>
              </w:rPr>
            </w:pPr>
            <w:r w:rsidRPr="002F7079">
              <w:rPr>
                <w:rFonts w:cs="Calibri"/>
                <w:sz w:val="18"/>
                <w:szCs w:val="18"/>
                <w:lang w:val="en-US"/>
              </w:rPr>
              <w:t>(Edmiston Jr. et al, 2019)</w:t>
            </w:r>
          </w:p>
        </w:tc>
      </w:tr>
      <w:tr w:rsidR="002F7079" w:rsidRPr="002F7079" w14:paraId="0A6CFA5C" w14:textId="77777777" w:rsidTr="002F7079">
        <w:trPr>
          <w:cantSplit/>
          <w:trHeight w:val="269"/>
        </w:trPr>
        <w:tc>
          <w:tcPr>
            <w:tcW w:w="1793" w:type="dxa"/>
            <w:vMerge/>
            <w:shd w:val="clear" w:color="auto" w:fill="FFFFFF" w:themeFill="background1"/>
            <w:vAlign w:val="center"/>
          </w:tcPr>
          <w:p w14:paraId="6584C7E8"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31F5EF31" w14:textId="77777777" w:rsidR="008B6DCF" w:rsidRPr="002F7079" w:rsidRDefault="008B6DCF" w:rsidP="00EA7573">
            <w:pPr>
              <w:jc w:val="center"/>
              <w:rPr>
                <w:rFonts w:cstheme="minorHAnsi"/>
                <w:sz w:val="18"/>
                <w:szCs w:val="18"/>
              </w:rPr>
            </w:pPr>
            <w:r w:rsidRPr="002F7079">
              <w:rPr>
                <w:rFonts w:cstheme="minorHAnsi"/>
                <w:sz w:val="18"/>
                <w:szCs w:val="18"/>
              </w:rPr>
              <w:t>Doença Hepática</w:t>
            </w:r>
          </w:p>
        </w:tc>
        <w:tc>
          <w:tcPr>
            <w:tcW w:w="3260" w:type="dxa"/>
            <w:shd w:val="clear" w:color="auto" w:fill="FFFFFF" w:themeFill="background1"/>
            <w:vAlign w:val="center"/>
          </w:tcPr>
          <w:p w14:paraId="42E5F175" w14:textId="23767F37" w:rsidR="008B6DCF" w:rsidRPr="002F7079" w:rsidRDefault="00713648" w:rsidP="00EA7573">
            <w:pPr>
              <w:jc w:val="center"/>
              <w:rPr>
                <w:rFonts w:cstheme="minorHAnsi"/>
                <w:sz w:val="18"/>
                <w:szCs w:val="18"/>
              </w:rPr>
            </w:pPr>
            <w:r w:rsidRPr="002F7079">
              <w:rPr>
                <w:rFonts w:cs="Calibri"/>
                <w:sz w:val="18"/>
                <w:szCs w:val="18"/>
                <w:lang w:val="en-US"/>
              </w:rPr>
              <w:t>(Rhee et al, 2018)</w:t>
            </w:r>
          </w:p>
        </w:tc>
      </w:tr>
      <w:tr w:rsidR="002F7079" w:rsidRPr="00AF0BBB" w14:paraId="1CEBC8C9" w14:textId="77777777" w:rsidTr="002F7079">
        <w:trPr>
          <w:cantSplit/>
          <w:trHeight w:val="276"/>
        </w:trPr>
        <w:tc>
          <w:tcPr>
            <w:tcW w:w="1793" w:type="dxa"/>
            <w:vMerge/>
            <w:shd w:val="clear" w:color="auto" w:fill="FFFFFF" w:themeFill="background1"/>
            <w:vAlign w:val="center"/>
          </w:tcPr>
          <w:p w14:paraId="11CD61A2"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0F273EE6" w14:textId="77777777" w:rsidR="008B6DCF" w:rsidRPr="002F7079" w:rsidRDefault="008B6DCF" w:rsidP="00EA7573">
            <w:pPr>
              <w:jc w:val="center"/>
              <w:rPr>
                <w:rFonts w:cstheme="minorHAnsi"/>
                <w:sz w:val="18"/>
                <w:szCs w:val="18"/>
              </w:rPr>
            </w:pPr>
            <w:r w:rsidRPr="002F7079">
              <w:rPr>
                <w:rFonts w:cstheme="minorHAnsi"/>
                <w:sz w:val="18"/>
                <w:szCs w:val="18"/>
              </w:rPr>
              <w:t>Diabetes</w:t>
            </w:r>
          </w:p>
        </w:tc>
        <w:tc>
          <w:tcPr>
            <w:tcW w:w="3260" w:type="dxa"/>
            <w:shd w:val="clear" w:color="auto" w:fill="FFFFFF" w:themeFill="background1"/>
            <w:vAlign w:val="center"/>
          </w:tcPr>
          <w:p w14:paraId="6FA4B61F" w14:textId="581F6BFB" w:rsidR="008B6DCF" w:rsidRPr="002F7079" w:rsidRDefault="00045BF8" w:rsidP="00EA7573">
            <w:pPr>
              <w:jc w:val="center"/>
              <w:rPr>
                <w:rFonts w:cstheme="minorHAnsi"/>
                <w:sz w:val="18"/>
                <w:szCs w:val="18"/>
                <w:lang w:val="en-US"/>
              </w:rPr>
            </w:pPr>
            <w:r w:rsidRPr="002F7079">
              <w:rPr>
                <w:rFonts w:cs="Calibri"/>
                <w:sz w:val="18"/>
                <w:szCs w:val="18"/>
                <w:lang w:val="en-US"/>
              </w:rPr>
              <w:t>(Edmiston Jr. et al, 2019</w:t>
            </w:r>
            <w:r w:rsidR="008B6DCF" w:rsidRPr="002F7079">
              <w:rPr>
                <w:rFonts w:cstheme="minorHAnsi"/>
                <w:sz w:val="18"/>
                <w:szCs w:val="18"/>
                <w:lang w:val="en-US"/>
              </w:rPr>
              <w:t xml:space="preserve">; </w:t>
            </w:r>
            <w:proofErr w:type="spellStart"/>
            <w:r w:rsidR="00713648" w:rsidRPr="002F7079">
              <w:rPr>
                <w:rFonts w:cs="Calibri"/>
                <w:sz w:val="18"/>
                <w:szCs w:val="18"/>
                <w:lang w:val="en-US"/>
              </w:rPr>
              <w:t>Almustafa</w:t>
            </w:r>
            <w:proofErr w:type="spellEnd"/>
            <w:r w:rsidR="00713648" w:rsidRPr="002F7079">
              <w:rPr>
                <w:rFonts w:cs="Calibri"/>
                <w:sz w:val="18"/>
                <w:szCs w:val="18"/>
                <w:lang w:val="en-US"/>
              </w:rPr>
              <w:t xml:space="preserve"> et al, 2018)</w:t>
            </w:r>
          </w:p>
        </w:tc>
      </w:tr>
      <w:tr w:rsidR="002F7079" w:rsidRPr="002F7079" w14:paraId="48081F74" w14:textId="77777777" w:rsidTr="002F7079">
        <w:trPr>
          <w:cantSplit/>
          <w:trHeight w:val="250"/>
        </w:trPr>
        <w:tc>
          <w:tcPr>
            <w:tcW w:w="1793" w:type="dxa"/>
            <w:vMerge/>
            <w:shd w:val="clear" w:color="auto" w:fill="FFFFFF" w:themeFill="background1"/>
            <w:vAlign w:val="center"/>
          </w:tcPr>
          <w:p w14:paraId="1C8294DF" w14:textId="77777777" w:rsidR="008B6DCF" w:rsidRPr="002F7079" w:rsidRDefault="008B6DCF" w:rsidP="00EA7573">
            <w:pPr>
              <w:rPr>
                <w:rFonts w:cstheme="minorHAnsi"/>
                <w:sz w:val="18"/>
                <w:szCs w:val="18"/>
                <w:lang w:val="en-US"/>
              </w:rPr>
            </w:pPr>
          </w:p>
        </w:tc>
        <w:tc>
          <w:tcPr>
            <w:tcW w:w="4847" w:type="dxa"/>
            <w:gridSpan w:val="3"/>
            <w:shd w:val="clear" w:color="auto" w:fill="FFFFFF" w:themeFill="background1"/>
            <w:vAlign w:val="center"/>
          </w:tcPr>
          <w:p w14:paraId="5895FE49" w14:textId="77777777" w:rsidR="008B6DCF" w:rsidRPr="002F7079" w:rsidRDefault="008B6DCF" w:rsidP="00EA7573">
            <w:pPr>
              <w:jc w:val="center"/>
              <w:rPr>
                <w:rFonts w:cstheme="minorHAnsi"/>
                <w:sz w:val="18"/>
                <w:szCs w:val="18"/>
              </w:rPr>
            </w:pPr>
            <w:r w:rsidRPr="002F7079">
              <w:rPr>
                <w:rFonts w:cstheme="minorHAnsi"/>
                <w:sz w:val="18"/>
                <w:szCs w:val="18"/>
              </w:rPr>
              <w:t>Hipertensão Arterial</w:t>
            </w:r>
          </w:p>
        </w:tc>
        <w:tc>
          <w:tcPr>
            <w:tcW w:w="3260" w:type="dxa"/>
            <w:shd w:val="clear" w:color="auto" w:fill="FFFFFF" w:themeFill="background1"/>
            <w:vAlign w:val="center"/>
          </w:tcPr>
          <w:p w14:paraId="0D49171B" w14:textId="385357C8" w:rsidR="008B6DCF" w:rsidRPr="002F7079" w:rsidRDefault="00045BF8" w:rsidP="00EA7573">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46E4C2EA" w14:textId="77777777" w:rsidTr="002F7079">
        <w:trPr>
          <w:cantSplit/>
          <w:trHeight w:val="140"/>
        </w:trPr>
        <w:tc>
          <w:tcPr>
            <w:tcW w:w="1793" w:type="dxa"/>
            <w:vMerge/>
            <w:shd w:val="clear" w:color="auto" w:fill="FFFFFF" w:themeFill="background1"/>
            <w:vAlign w:val="center"/>
          </w:tcPr>
          <w:p w14:paraId="7AAB8B44" w14:textId="77777777" w:rsidR="008B6DCF" w:rsidRPr="002F7079" w:rsidRDefault="008B6DCF" w:rsidP="00EA7573">
            <w:pPr>
              <w:rPr>
                <w:rFonts w:cstheme="minorHAnsi"/>
                <w:sz w:val="18"/>
                <w:szCs w:val="18"/>
              </w:rPr>
            </w:pPr>
          </w:p>
        </w:tc>
        <w:tc>
          <w:tcPr>
            <w:tcW w:w="3289" w:type="dxa"/>
            <w:gridSpan w:val="2"/>
            <w:shd w:val="clear" w:color="auto" w:fill="FFFFFF" w:themeFill="background1"/>
            <w:vAlign w:val="center"/>
          </w:tcPr>
          <w:p w14:paraId="220A9FA6" w14:textId="34B73CE4" w:rsidR="008B6DCF" w:rsidRPr="002F7079" w:rsidRDefault="008B6DCF" w:rsidP="00EA7573">
            <w:pPr>
              <w:jc w:val="center"/>
              <w:rPr>
                <w:rFonts w:cstheme="minorHAnsi"/>
                <w:sz w:val="18"/>
                <w:szCs w:val="18"/>
              </w:rPr>
            </w:pPr>
          </w:p>
        </w:tc>
        <w:tc>
          <w:tcPr>
            <w:tcW w:w="1558" w:type="dxa"/>
            <w:shd w:val="clear" w:color="auto" w:fill="FFFFFF" w:themeFill="background1"/>
            <w:vAlign w:val="center"/>
          </w:tcPr>
          <w:p w14:paraId="0C9B652C" w14:textId="78F7CEB4" w:rsidR="008B6DCF" w:rsidRPr="002F7079" w:rsidRDefault="008B6DCF" w:rsidP="00EA7573">
            <w:pPr>
              <w:jc w:val="center"/>
              <w:rPr>
                <w:rFonts w:cstheme="minorHAnsi"/>
                <w:sz w:val="18"/>
                <w:szCs w:val="18"/>
              </w:rPr>
            </w:pPr>
            <w:r w:rsidRPr="002F7079">
              <w:rPr>
                <w:rFonts w:cstheme="minorHAnsi"/>
                <w:sz w:val="18"/>
                <w:szCs w:val="18"/>
              </w:rPr>
              <w:t>D</w:t>
            </w:r>
            <w:r w:rsidR="002A597B" w:rsidRPr="002F7079">
              <w:rPr>
                <w:rFonts w:cstheme="minorHAnsi"/>
                <w:sz w:val="18"/>
                <w:szCs w:val="18"/>
              </w:rPr>
              <w:t>oença</w:t>
            </w:r>
            <w:r w:rsidRPr="002F7079">
              <w:rPr>
                <w:rFonts w:cstheme="minorHAnsi"/>
                <w:sz w:val="18"/>
                <w:szCs w:val="18"/>
              </w:rPr>
              <w:t xml:space="preserve"> Venosa Periférica</w:t>
            </w:r>
          </w:p>
        </w:tc>
        <w:tc>
          <w:tcPr>
            <w:tcW w:w="3260" w:type="dxa"/>
            <w:shd w:val="clear" w:color="auto" w:fill="FFFFFF" w:themeFill="background1"/>
            <w:vAlign w:val="center"/>
          </w:tcPr>
          <w:p w14:paraId="4084EF7F" w14:textId="70CF1DFE" w:rsidR="008B6DCF" w:rsidRPr="002F7079" w:rsidRDefault="000D7B67" w:rsidP="00EA7573">
            <w:pPr>
              <w:jc w:val="center"/>
              <w:rPr>
                <w:rFonts w:cstheme="minorHAnsi"/>
                <w:sz w:val="18"/>
                <w:szCs w:val="18"/>
              </w:rPr>
            </w:pPr>
            <w:r w:rsidRPr="002F7079">
              <w:rPr>
                <w:rFonts w:cs="Calibri"/>
                <w:sz w:val="18"/>
                <w:szCs w:val="18"/>
                <w:lang w:val="en-US"/>
              </w:rPr>
              <w:t>(Marusic et al, 2021)</w:t>
            </w:r>
          </w:p>
        </w:tc>
      </w:tr>
      <w:tr w:rsidR="002F7079" w:rsidRPr="002F7079" w14:paraId="62F91F6E" w14:textId="77777777" w:rsidTr="002F7079">
        <w:trPr>
          <w:cantSplit/>
          <w:trHeight w:val="185"/>
        </w:trPr>
        <w:tc>
          <w:tcPr>
            <w:tcW w:w="1793" w:type="dxa"/>
            <w:vMerge/>
            <w:shd w:val="clear" w:color="auto" w:fill="FFFFFF" w:themeFill="background1"/>
            <w:vAlign w:val="center"/>
          </w:tcPr>
          <w:p w14:paraId="51165470" w14:textId="77777777" w:rsidR="008B6DCF" w:rsidRPr="002F7079" w:rsidRDefault="008B6DCF" w:rsidP="00EA7573">
            <w:pPr>
              <w:rPr>
                <w:rFonts w:cstheme="minorHAnsi"/>
                <w:sz w:val="18"/>
                <w:szCs w:val="18"/>
              </w:rPr>
            </w:pPr>
          </w:p>
        </w:tc>
        <w:tc>
          <w:tcPr>
            <w:tcW w:w="4847" w:type="dxa"/>
            <w:gridSpan w:val="3"/>
            <w:shd w:val="clear" w:color="auto" w:fill="FFFFFF" w:themeFill="background1"/>
            <w:vAlign w:val="center"/>
          </w:tcPr>
          <w:p w14:paraId="60B226D3" w14:textId="77777777" w:rsidR="008B6DCF" w:rsidRPr="002F7079" w:rsidRDefault="008B6DCF" w:rsidP="00EA7573">
            <w:pPr>
              <w:jc w:val="center"/>
              <w:rPr>
                <w:rFonts w:cstheme="minorHAnsi"/>
                <w:sz w:val="18"/>
                <w:szCs w:val="18"/>
              </w:rPr>
            </w:pPr>
            <w:r w:rsidRPr="002F7079">
              <w:rPr>
                <w:rFonts w:cstheme="minorHAnsi"/>
                <w:sz w:val="18"/>
                <w:szCs w:val="18"/>
              </w:rPr>
              <w:t>Depressão</w:t>
            </w:r>
          </w:p>
        </w:tc>
        <w:tc>
          <w:tcPr>
            <w:tcW w:w="3260" w:type="dxa"/>
            <w:shd w:val="clear" w:color="auto" w:fill="FFFFFF" w:themeFill="background1"/>
            <w:vAlign w:val="center"/>
          </w:tcPr>
          <w:p w14:paraId="2D885A33" w14:textId="0E3647EF" w:rsidR="008B6DCF" w:rsidRPr="002F7079" w:rsidRDefault="00713648" w:rsidP="00EA7573">
            <w:pPr>
              <w:jc w:val="center"/>
              <w:rPr>
                <w:rFonts w:cstheme="minorHAnsi"/>
                <w:sz w:val="18"/>
                <w:szCs w:val="18"/>
              </w:rPr>
            </w:pPr>
            <w:r w:rsidRPr="002F7079">
              <w:rPr>
                <w:rFonts w:cs="Calibri"/>
                <w:sz w:val="18"/>
                <w:szCs w:val="18"/>
                <w:lang w:val="en-US"/>
              </w:rPr>
              <w:t>(Sodhi et al, 2020)</w:t>
            </w:r>
          </w:p>
        </w:tc>
      </w:tr>
      <w:tr w:rsidR="002F7079" w:rsidRPr="00AF0BBB" w14:paraId="60FC7C0C" w14:textId="77777777" w:rsidTr="002F7079">
        <w:trPr>
          <w:cantSplit/>
          <w:trHeight w:val="20"/>
        </w:trPr>
        <w:tc>
          <w:tcPr>
            <w:tcW w:w="1793" w:type="dxa"/>
            <w:shd w:val="clear" w:color="auto" w:fill="FFFFFF" w:themeFill="background1"/>
            <w:vAlign w:val="center"/>
          </w:tcPr>
          <w:p w14:paraId="0A37B50D" w14:textId="77777777" w:rsidR="008B6DCF" w:rsidRPr="002F7079" w:rsidRDefault="008B6DCF" w:rsidP="00EA7573">
            <w:pPr>
              <w:rPr>
                <w:rFonts w:cstheme="minorHAnsi"/>
                <w:sz w:val="18"/>
                <w:szCs w:val="18"/>
              </w:rPr>
            </w:pPr>
            <w:r w:rsidRPr="002F7079">
              <w:rPr>
                <w:rFonts w:cstheme="minorHAnsi"/>
                <w:sz w:val="18"/>
                <w:szCs w:val="18"/>
              </w:rPr>
              <w:t>Sazonalidade</w:t>
            </w:r>
          </w:p>
        </w:tc>
        <w:tc>
          <w:tcPr>
            <w:tcW w:w="4847" w:type="dxa"/>
            <w:gridSpan w:val="3"/>
            <w:shd w:val="clear" w:color="auto" w:fill="FFFFFF" w:themeFill="background1"/>
            <w:vAlign w:val="center"/>
          </w:tcPr>
          <w:p w14:paraId="16297164" w14:textId="77777777" w:rsidR="008B6DCF" w:rsidRPr="002F7079" w:rsidRDefault="008B6DCF" w:rsidP="00EA7573">
            <w:pPr>
              <w:jc w:val="center"/>
              <w:rPr>
                <w:rFonts w:cstheme="minorHAnsi"/>
                <w:sz w:val="18"/>
                <w:szCs w:val="18"/>
              </w:rPr>
            </w:pPr>
            <w:r w:rsidRPr="002F7079">
              <w:rPr>
                <w:rFonts w:cstheme="minorHAnsi"/>
                <w:sz w:val="18"/>
                <w:szCs w:val="18"/>
              </w:rPr>
              <w:t>Verão</w:t>
            </w:r>
          </w:p>
        </w:tc>
        <w:tc>
          <w:tcPr>
            <w:tcW w:w="3260" w:type="dxa"/>
            <w:shd w:val="clear" w:color="auto" w:fill="FFFFFF" w:themeFill="background1"/>
            <w:vAlign w:val="center"/>
          </w:tcPr>
          <w:p w14:paraId="4EEFCF9C" w14:textId="141335C4" w:rsidR="008B6DCF" w:rsidRPr="002F7079" w:rsidRDefault="000D7B67" w:rsidP="00EA7573">
            <w:pPr>
              <w:jc w:val="center"/>
              <w:rPr>
                <w:rFonts w:cstheme="minorHAnsi"/>
                <w:sz w:val="18"/>
                <w:szCs w:val="18"/>
                <w:lang w:val="en-US"/>
              </w:rPr>
            </w:pPr>
            <w:r w:rsidRPr="002F7079">
              <w:rPr>
                <w:rFonts w:cs="Calibri"/>
                <w:sz w:val="18"/>
                <w:szCs w:val="18"/>
                <w:lang w:val="en-US"/>
              </w:rPr>
              <w:t>(Bischoff et al, 2023</w:t>
            </w:r>
            <w:r w:rsidR="008B6DCF" w:rsidRPr="002F7079">
              <w:rPr>
                <w:rFonts w:cstheme="minorHAnsi"/>
                <w:sz w:val="18"/>
                <w:szCs w:val="18"/>
                <w:lang w:val="en-US"/>
              </w:rPr>
              <w:t xml:space="preserve">; </w:t>
            </w:r>
            <w:r w:rsidR="00713648" w:rsidRPr="002F7079">
              <w:rPr>
                <w:rFonts w:cs="Calibri"/>
                <w:sz w:val="18"/>
                <w:szCs w:val="18"/>
                <w:lang w:val="en-US"/>
              </w:rPr>
              <w:t>Anthony et al, 2018)</w:t>
            </w:r>
          </w:p>
        </w:tc>
      </w:tr>
      <w:tr w:rsidR="002F7079" w:rsidRPr="002F7079" w14:paraId="1E3CA13C" w14:textId="77777777" w:rsidTr="002F7079">
        <w:trPr>
          <w:cantSplit/>
          <w:trHeight w:val="204"/>
        </w:trPr>
        <w:tc>
          <w:tcPr>
            <w:tcW w:w="1793" w:type="dxa"/>
            <w:shd w:val="clear" w:color="auto" w:fill="FFFFFF" w:themeFill="background1"/>
            <w:vAlign w:val="center"/>
          </w:tcPr>
          <w:p w14:paraId="512FB32C" w14:textId="77777777" w:rsidR="008B6DCF" w:rsidRPr="002F7079" w:rsidRDefault="008B6DCF" w:rsidP="00EA7573">
            <w:pPr>
              <w:rPr>
                <w:rFonts w:cstheme="minorHAnsi"/>
                <w:sz w:val="18"/>
                <w:szCs w:val="18"/>
              </w:rPr>
            </w:pPr>
            <w:r w:rsidRPr="002F7079">
              <w:rPr>
                <w:rFonts w:cstheme="minorHAnsi"/>
                <w:sz w:val="18"/>
                <w:szCs w:val="18"/>
              </w:rPr>
              <w:t>Cicatrização</w:t>
            </w:r>
          </w:p>
        </w:tc>
        <w:tc>
          <w:tcPr>
            <w:tcW w:w="4847" w:type="dxa"/>
            <w:gridSpan w:val="3"/>
            <w:shd w:val="clear" w:color="auto" w:fill="FFFFFF" w:themeFill="background1"/>
            <w:vAlign w:val="center"/>
          </w:tcPr>
          <w:p w14:paraId="2DF97E85" w14:textId="77777777" w:rsidR="008B6DCF" w:rsidRPr="002F7079" w:rsidRDefault="008B6DCF" w:rsidP="00EA7573">
            <w:pPr>
              <w:jc w:val="center"/>
              <w:rPr>
                <w:rFonts w:cstheme="minorHAnsi"/>
                <w:sz w:val="18"/>
                <w:szCs w:val="18"/>
              </w:rPr>
            </w:pPr>
            <w:r w:rsidRPr="002F7079">
              <w:rPr>
                <w:rFonts w:cstheme="minorHAnsi"/>
                <w:sz w:val="18"/>
                <w:szCs w:val="18"/>
              </w:rPr>
              <w:t xml:space="preserve">Doença de </w:t>
            </w:r>
            <w:proofErr w:type="spellStart"/>
            <w:r w:rsidRPr="002F7079">
              <w:rPr>
                <w:rFonts w:cstheme="minorHAnsi"/>
                <w:i/>
                <w:iCs/>
                <w:sz w:val="18"/>
                <w:szCs w:val="18"/>
              </w:rPr>
              <w:t>Ahlbäck</w:t>
            </w:r>
            <w:proofErr w:type="spellEnd"/>
          </w:p>
        </w:tc>
        <w:tc>
          <w:tcPr>
            <w:tcW w:w="3260" w:type="dxa"/>
            <w:shd w:val="clear" w:color="auto" w:fill="FFFFFF" w:themeFill="background1"/>
            <w:vAlign w:val="center"/>
          </w:tcPr>
          <w:p w14:paraId="57777E7F" w14:textId="0281C050" w:rsidR="008B6DCF" w:rsidRPr="002F7079" w:rsidRDefault="000D7B67" w:rsidP="00EA7573">
            <w:pPr>
              <w:jc w:val="center"/>
              <w:rPr>
                <w:rFonts w:cstheme="minorHAnsi"/>
                <w:sz w:val="18"/>
                <w:szCs w:val="18"/>
              </w:rPr>
            </w:pPr>
            <w:r w:rsidRPr="002F7079">
              <w:rPr>
                <w:rFonts w:cs="Calibri"/>
                <w:sz w:val="18"/>
                <w:szCs w:val="18"/>
                <w:lang w:val="en-US"/>
              </w:rPr>
              <w:t>(Baier et al, 2019)</w:t>
            </w:r>
          </w:p>
        </w:tc>
      </w:tr>
    </w:tbl>
    <w:p w14:paraId="41DBCD6B" w14:textId="77777777" w:rsidR="002F7079" w:rsidRDefault="002F7079" w:rsidP="002F7079">
      <w:pPr>
        <w:spacing w:after="0" w:line="240" w:lineRule="auto"/>
        <w:jc w:val="both"/>
        <w:rPr>
          <w:rFonts w:cstheme="minorHAnsi"/>
        </w:rPr>
      </w:pPr>
    </w:p>
    <w:p w14:paraId="0FCAC157" w14:textId="158C4911" w:rsidR="00EA7573" w:rsidRPr="002F7079" w:rsidRDefault="00EA7573" w:rsidP="00711372">
      <w:pPr>
        <w:spacing w:after="0" w:line="240" w:lineRule="auto"/>
        <w:ind w:left="-170" w:right="-170"/>
        <w:jc w:val="both"/>
        <w:rPr>
          <w:rFonts w:cstheme="minorHAnsi"/>
        </w:rPr>
      </w:pPr>
      <w:r w:rsidRPr="002F7079">
        <w:rPr>
          <w:rFonts w:cstheme="minorHAnsi"/>
        </w:rPr>
        <w:t>Tabela 3</w:t>
      </w:r>
    </w:p>
    <w:p w14:paraId="0F36A4B1" w14:textId="4F33C2F3" w:rsidR="00EA7573" w:rsidRDefault="00EA7573" w:rsidP="00711372">
      <w:pPr>
        <w:spacing w:after="0" w:line="240" w:lineRule="auto"/>
        <w:ind w:left="-170" w:right="-170"/>
        <w:jc w:val="both"/>
        <w:rPr>
          <w:rFonts w:cstheme="minorHAnsi"/>
        </w:rPr>
      </w:pPr>
      <w:r w:rsidRPr="002F7079">
        <w:rPr>
          <w:rFonts w:cstheme="minorHAnsi"/>
        </w:rPr>
        <w:t>Fatores de risco de ILC modificáveis</w:t>
      </w:r>
    </w:p>
    <w:tbl>
      <w:tblPr>
        <w:tblStyle w:val="TabelacomGrelha"/>
        <w:tblpPr w:leftFromText="141" w:rightFromText="141" w:vertAnchor="text" w:horzAnchor="margin" w:tblpX="-142" w:tblpY="305"/>
        <w:tblW w:w="9900" w:type="dxa"/>
        <w:tblBorders>
          <w:left w:val="none" w:sz="0" w:space="0" w:color="auto"/>
          <w:right w:val="none" w:sz="0" w:space="0" w:color="auto"/>
        </w:tblBorders>
        <w:shd w:val="clear" w:color="auto" w:fill="FFFFFF" w:themeFill="background1"/>
        <w:tblLayout w:type="fixed"/>
        <w:tblLook w:val="04A0" w:firstRow="1" w:lastRow="0" w:firstColumn="1" w:lastColumn="0" w:noHBand="0" w:noVBand="1"/>
      </w:tblPr>
      <w:tblGrid>
        <w:gridCol w:w="1617"/>
        <w:gridCol w:w="1621"/>
        <w:gridCol w:w="1701"/>
        <w:gridCol w:w="1701"/>
        <w:gridCol w:w="3260"/>
      </w:tblGrid>
      <w:tr w:rsidR="002F7079" w:rsidRPr="002F7079" w14:paraId="545C64E0" w14:textId="77777777" w:rsidTr="00711372">
        <w:trPr>
          <w:cantSplit/>
          <w:trHeight w:val="20"/>
        </w:trPr>
        <w:tc>
          <w:tcPr>
            <w:tcW w:w="1617" w:type="dxa"/>
            <w:shd w:val="clear" w:color="auto" w:fill="FFFFFF" w:themeFill="background1"/>
            <w:vAlign w:val="center"/>
          </w:tcPr>
          <w:p w14:paraId="145694F5" w14:textId="77777777" w:rsidR="0049224B" w:rsidRPr="002F7079" w:rsidRDefault="0049224B" w:rsidP="00711372">
            <w:pPr>
              <w:rPr>
                <w:rFonts w:cstheme="minorHAnsi"/>
                <w:sz w:val="18"/>
                <w:szCs w:val="18"/>
              </w:rPr>
            </w:pPr>
            <w:r w:rsidRPr="002F7079">
              <w:rPr>
                <w:rFonts w:cstheme="minorHAnsi"/>
                <w:sz w:val="18"/>
                <w:szCs w:val="18"/>
              </w:rPr>
              <w:t>FATORES</w:t>
            </w:r>
          </w:p>
        </w:tc>
        <w:tc>
          <w:tcPr>
            <w:tcW w:w="1621" w:type="dxa"/>
            <w:shd w:val="clear" w:color="auto" w:fill="FFFFFF" w:themeFill="background1"/>
            <w:vAlign w:val="center"/>
          </w:tcPr>
          <w:p w14:paraId="589D317A" w14:textId="77777777" w:rsidR="0049224B" w:rsidRPr="002F7079" w:rsidRDefault="0049224B" w:rsidP="00711372">
            <w:pPr>
              <w:jc w:val="center"/>
              <w:rPr>
                <w:rFonts w:cstheme="minorHAnsi"/>
                <w:sz w:val="18"/>
                <w:szCs w:val="18"/>
              </w:rPr>
            </w:pPr>
            <w:r w:rsidRPr="002F7079">
              <w:rPr>
                <w:rFonts w:cstheme="minorHAnsi"/>
                <w:sz w:val="18"/>
                <w:szCs w:val="18"/>
              </w:rPr>
              <w:t>PRÉ-OPERATÓRIO</w:t>
            </w:r>
          </w:p>
        </w:tc>
        <w:tc>
          <w:tcPr>
            <w:tcW w:w="1701" w:type="dxa"/>
            <w:shd w:val="clear" w:color="auto" w:fill="FFFFFF" w:themeFill="background1"/>
            <w:vAlign w:val="center"/>
          </w:tcPr>
          <w:p w14:paraId="217FF12F" w14:textId="77777777" w:rsidR="0049224B" w:rsidRPr="002F7079" w:rsidRDefault="0049224B" w:rsidP="00711372">
            <w:pPr>
              <w:jc w:val="center"/>
              <w:rPr>
                <w:rFonts w:cstheme="minorHAnsi"/>
                <w:sz w:val="18"/>
                <w:szCs w:val="18"/>
              </w:rPr>
            </w:pPr>
            <w:r w:rsidRPr="002F7079">
              <w:rPr>
                <w:rFonts w:cstheme="minorHAnsi"/>
                <w:sz w:val="18"/>
                <w:szCs w:val="18"/>
              </w:rPr>
              <w:t>INTRA-OPERATÓRIO</w:t>
            </w:r>
          </w:p>
        </w:tc>
        <w:tc>
          <w:tcPr>
            <w:tcW w:w="1701" w:type="dxa"/>
            <w:shd w:val="clear" w:color="auto" w:fill="FFFFFF" w:themeFill="background1"/>
            <w:vAlign w:val="center"/>
          </w:tcPr>
          <w:p w14:paraId="44546613" w14:textId="77777777" w:rsidR="0049224B" w:rsidRPr="002F7079" w:rsidRDefault="0049224B" w:rsidP="00711372">
            <w:pPr>
              <w:jc w:val="center"/>
              <w:rPr>
                <w:rFonts w:cstheme="minorHAnsi"/>
                <w:sz w:val="18"/>
                <w:szCs w:val="18"/>
              </w:rPr>
            </w:pPr>
            <w:r w:rsidRPr="002F7079">
              <w:rPr>
                <w:rFonts w:cstheme="minorHAnsi"/>
                <w:sz w:val="18"/>
                <w:szCs w:val="18"/>
              </w:rPr>
              <w:t>PÓS OPERATÓRIO</w:t>
            </w:r>
          </w:p>
        </w:tc>
        <w:tc>
          <w:tcPr>
            <w:tcW w:w="3260" w:type="dxa"/>
            <w:shd w:val="clear" w:color="auto" w:fill="FFFFFF" w:themeFill="background1"/>
            <w:vAlign w:val="center"/>
          </w:tcPr>
          <w:p w14:paraId="74DCC41C" w14:textId="77777777" w:rsidR="0049224B" w:rsidRPr="002F7079" w:rsidRDefault="0049224B" w:rsidP="00711372">
            <w:pPr>
              <w:jc w:val="center"/>
              <w:rPr>
                <w:rFonts w:cstheme="minorHAnsi"/>
                <w:sz w:val="18"/>
                <w:szCs w:val="18"/>
              </w:rPr>
            </w:pPr>
            <w:r w:rsidRPr="002F7079">
              <w:rPr>
                <w:rFonts w:cstheme="minorHAnsi"/>
                <w:sz w:val="18"/>
                <w:szCs w:val="18"/>
              </w:rPr>
              <w:t>ESTUDOS</w:t>
            </w:r>
          </w:p>
        </w:tc>
      </w:tr>
      <w:tr w:rsidR="002F7079" w:rsidRPr="002F7079" w14:paraId="27B5BFB7" w14:textId="77777777" w:rsidTr="00711372">
        <w:trPr>
          <w:cantSplit/>
          <w:trHeight w:val="112"/>
        </w:trPr>
        <w:tc>
          <w:tcPr>
            <w:tcW w:w="1617" w:type="dxa"/>
            <w:vMerge w:val="restart"/>
            <w:shd w:val="clear" w:color="auto" w:fill="FFFFFF" w:themeFill="background1"/>
            <w:vAlign w:val="center"/>
          </w:tcPr>
          <w:p w14:paraId="7796C535" w14:textId="77777777" w:rsidR="0049224B" w:rsidRPr="002F7079" w:rsidRDefault="0049224B" w:rsidP="00711372">
            <w:pPr>
              <w:rPr>
                <w:rFonts w:cstheme="minorHAnsi"/>
                <w:sz w:val="18"/>
                <w:szCs w:val="18"/>
              </w:rPr>
            </w:pPr>
            <w:r w:rsidRPr="002F7079">
              <w:rPr>
                <w:rFonts w:cstheme="minorHAnsi"/>
                <w:sz w:val="18"/>
                <w:szCs w:val="18"/>
              </w:rPr>
              <w:t>Obesidade</w:t>
            </w:r>
          </w:p>
        </w:tc>
        <w:tc>
          <w:tcPr>
            <w:tcW w:w="5023" w:type="dxa"/>
            <w:gridSpan w:val="3"/>
            <w:shd w:val="clear" w:color="auto" w:fill="FFFFFF" w:themeFill="background1"/>
          </w:tcPr>
          <w:p w14:paraId="6E18684E" w14:textId="77777777" w:rsidR="0049224B" w:rsidRPr="002F7079" w:rsidRDefault="0049224B" w:rsidP="00711372">
            <w:pPr>
              <w:jc w:val="center"/>
              <w:rPr>
                <w:rFonts w:cstheme="minorHAnsi"/>
                <w:sz w:val="18"/>
                <w:szCs w:val="18"/>
              </w:rPr>
            </w:pPr>
            <w:r w:rsidRPr="002F7079">
              <w:rPr>
                <w:rFonts w:cstheme="minorHAnsi"/>
                <w:sz w:val="18"/>
                <w:szCs w:val="18"/>
              </w:rPr>
              <w:t>IMC&gt;25</w:t>
            </w:r>
          </w:p>
        </w:tc>
        <w:tc>
          <w:tcPr>
            <w:tcW w:w="3260" w:type="dxa"/>
            <w:shd w:val="clear" w:color="auto" w:fill="FFFFFF" w:themeFill="background1"/>
            <w:vAlign w:val="center"/>
          </w:tcPr>
          <w:p w14:paraId="39666176" w14:textId="47E4270B" w:rsidR="0049224B" w:rsidRPr="002F7079" w:rsidRDefault="000D7B67" w:rsidP="00711372">
            <w:pPr>
              <w:jc w:val="center"/>
              <w:rPr>
                <w:rFonts w:cstheme="minorHAnsi"/>
                <w:sz w:val="18"/>
                <w:szCs w:val="18"/>
              </w:rPr>
            </w:pPr>
            <w:r w:rsidRPr="002F7079">
              <w:rPr>
                <w:rFonts w:cs="Calibri"/>
                <w:sz w:val="18"/>
                <w:szCs w:val="18"/>
                <w:lang w:val="en-US"/>
              </w:rPr>
              <w:t>(Sodhi et al, 2020)</w:t>
            </w:r>
          </w:p>
        </w:tc>
      </w:tr>
      <w:tr w:rsidR="002F7079" w:rsidRPr="002F7079" w14:paraId="252353F4" w14:textId="77777777" w:rsidTr="00711372">
        <w:trPr>
          <w:cantSplit/>
          <w:trHeight w:val="165"/>
        </w:trPr>
        <w:tc>
          <w:tcPr>
            <w:tcW w:w="1617" w:type="dxa"/>
            <w:vMerge/>
            <w:shd w:val="clear" w:color="auto" w:fill="FFFFFF" w:themeFill="background1"/>
            <w:vAlign w:val="center"/>
          </w:tcPr>
          <w:p w14:paraId="02888CC7" w14:textId="77777777" w:rsidR="0049224B" w:rsidRPr="002F7079" w:rsidRDefault="0049224B" w:rsidP="00711372">
            <w:pPr>
              <w:rPr>
                <w:rFonts w:cstheme="minorHAnsi"/>
                <w:sz w:val="18"/>
                <w:szCs w:val="18"/>
              </w:rPr>
            </w:pPr>
          </w:p>
        </w:tc>
        <w:tc>
          <w:tcPr>
            <w:tcW w:w="5023" w:type="dxa"/>
            <w:gridSpan w:val="3"/>
            <w:shd w:val="clear" w:color="auto" w:fill="FFFFFF" w:themeFill="background1"/>
          </w:tcPr>
          <w:p w14:paraId="4B8D51BC" w14:textId="77777777" w:rsidR="0049224B" w:rsidRPr="002F7079" w:rsidRDefault="0049224B" w:rsidP="00711372">
            <w:pPr>
              <w:jc w:val="center"/>
              <w:rPr>
                <w:rFonts w:cstheme="minorHAnsi"/>
                <w:sz w:val="18"/>
                <w:szCs w:val="18"/>
              </w:rPr>
            </w:pPr>
            <w:r w:rsidRPr="002F7079">
              <w:rPr>
                <w:rFonts w:cstheme="minorHAnsi"/>
                <w:sz w:val="18"/>
                <w:szCs w:val="18"/>
              </w:rPr>
              <w:t>IMC≥30</w:t>
            </w:r>
          </w:p>
        </w:tc>
        <w:tc>
          <w:tcPr>
            <w:tcW w:w="3260" w:type="dxa"/>
            <w:shd w:val="clear" w:color="auto" w:fill="FFFFFF" w:themeFill="background1"/>
            <w:vAlign w:val="center"/>
          </w:tcPr>
          <w:p w14:paraId="07856FEC" w14:textId="3CE9F4EA" w:rsidR="0049224B" w:rsidRPr="002F7079" w:rsidRDefault="000D7B67" w:rsidP="00711372">
            <w:pPr>
              <w:jc w:val="center"/>
              <w:rPr>
                <w:rFonts w:cstheme="minorHAnsi"/>
                <w:sz w:val="18"/>
                <w:szCs w:val="18"/>
              </w:rPr>
            </w:pPr>
            <w:r w:rsidRPr="002F7079">
              <w:rPr>
                <w:rFonts w:cs="Calibri"/>
                <w:sz w:val="18"/>
                <w:szCs w:val="18"/>
                <w:lang w:val="en-US"/>
              </w:rPr>
              <w:t>(Baier et al, 2019)</w:t>
            </w:r>
          </w:p>
        </w:tc>
      </w:tr>
      <w:tr w:rsidR="002F7079" w:rsidRPr="002F7079" w14:paraId="42F449C9" w14:textId="77777777" w:rsidTr="00711372">
        <w:trPr>
          <w:cantSplit/>
          <w:trHeight w:val="225"/>
        </w:trPr>
        <w:tc>
          <w:tcPr>
            <w:tcW w:w="1617" w:type="dxa"/>
            <w:vMerge/>
            <w:shd w:val="clear" w:color="auto" w:fill="FFFFFF" w:themeFill="background1"/>
            <w:vAlign w:val="center"/>
          </w:tcPr>
          <w:p w14:paraId="5758795A" w14:textId="77777777" w:rsidR="0049224B" w:rsidRPr="002F7079" w:rsidRDefault="0049224B" w:rsidP="00711372">
            <w:pPr>
              <w:rPr>
                <w:rFonts w:cstheme="minorHAnsi"/>
                <w:sz w:val="18"/>
                <w:szCs w:val="18"/>
              </w:rPr>
            </w:pPr>
          </w:p>
        </w:tc>
        <w:tc>
          <w:tcPr>
            <w:tcW w:w="5023" w:type="dxa"/>
            <w:gridSpan w:val="3"/>
            <w:shd w:val="clear" w:color="auto" w:fill="FFFFFF" w:themeFill="background1"/>
          </w:tcPr>
          <w:p w14:paraId="783456FF" w14:textId="77777777" w:rsidR="0049224B" w:rsidRPr="002F7079" w:rsidRDefault="0049224B" w:rsidP="00711372">
            <w:pPr>
              <w:jc w:val="center"/>
              <w:rPr>
                <w:rFonts w:cstheme="minorHAnsi"/>
                <w:sz w:val="18"/>
                <w:szCs w:val="18"/>
              </w:rPr>
            </w:pPr>
            <w:r w:rsidRPr="002F7079">
              <w:rPr>
                <w:rFonts w:cstheme="minorHAnsi"/>
                <w:sz w:val="18"/>
                <w:szCs w:val="18"/>
              </w:rPr>
              <w:t>gordura pré-patelar</w:t>
            </w:r>
          </w:p>
        </w:tc>
        <w:tc>
          <w:tcPr>
            <w:tcW w:w="3260" w:type="dxa"/>
            <w:shd w:val="clear" w:color="auto" w:fill="FFFFFF" w:themeFill="background1"/>
            <w:vAlign w:val="center"/>
          </w:tcPr>
          <w:p w14:paraId="0AFA64A8" w14:textId="5D97BA9B" w:rsidR="0049224B" w:rsidRPr="002F7079" w:rsidRDefault="00713648" w:rsidP="00711372">
            <w:pPr>
              <w:jc w:val="center"/>
              <w:rPr>
                <w:rFonts w:cstheme="minorHAnsi"/>
                <w:sz w:val="18"/>
                <w:szCs w:val="18"/>
              </w:rPr>
            </w:pPr>
            <w:r w:rsidRPr="002F7079">
              <w:rPr>
                <w:rFonts w:cs="Calibri"/>
                <w:sz w:val="18"/>
                <w:szCs w:val="18"/>
                <w:lang w:val="en-US"/>
              </w:rPr>
              <w:t>(Wagner et al, 2018)</w:t>
            </w:r>
          </w:p>
        </w:tc>
      </w:tr>
      <w:tr w:rsidR="002F7079" w:rsidRPr="002F7079" w14:paraId="668267A0" w14:textId="77777777" w:rsidTr="00711372">
        <w:trPr>
          <w:cantSplit/>
          <w:trHeight w:val="265"/>
        </w:trPr>
        <w:tc>
          <w:tcPr>
            <w:tcW w:w="1617" w:type="dxa"/>
            <w:vMerge/>
            <w:shd w:val="clear" w:color="auto" w:fill="FFFFFF" w:themeFill="background1"/>
            <w:vAlign w:val="center"/>
          </w:tcPr>
          <w:p w14:paraId="30BF8C2C" w14:textId="77777777" w:rsidR="0049224B" w:rsidRPr="002F7079" w:rsidRDefault="0049224B" w:rsidP="00711372">
            <w:pPr>
              <w:rPr>
                <w:rFonts w:cstheme="minorHAnsi"/>
                <w:sz w:val="18"/>
                <w:szCs w:val="18"/>
              </w:rPr>
            </w:pPr>
          </w:p>
        </w:tc>
        <w:tc>
          <w:tcPr>
            <w:tcW w:w="5023" w:type="dxa"/>
            <w:gridSpan w:val="3"/>
            <w:shd w:val="clear" w:color="auto" w:fill="FFFFFF" w:themeFill="background1"/>
            <w:vAlign w:val="center"/>
          </w:tcPr>
          <w:p w14:paraId="3F7139E5" w14:textId="77777777" w:rsidR="0049224B" w:rsidRPr="002F7079" w:rsidRDefault="0049224B" w:rsidP="00711372">
            <w:pPr>
              <w:jc w:val="center"/>
              <w:rPr>
                <w:rFonts w:cstheme="minorHAnsi"/>
                <w:sz w:val="18"/>
                <w:szCs w:val="18"/>
              </w:rPr>
            </w:pPr>
            <w:r w:rsidRPr="002F7079">
              <w:rPr>
                <w:rFonts w:cstheme="minorHAnsi"/>
                <w:sz w:val="18"/>
                <w:szCs w:val="18"/>
              </w:rPr>
              <w:t>Dos 50-55 anos</w:t>
            </w:r>
          </w:p>
        </w:tc>
        <w:tc>
          <w:tcPr>
            <w:tcW w:w="3260" w:type="dxa"/>
            <w:shd w:val="clear" w:color="auto" w:fill="FFFFFF" w:themeFill="background1"/>
            <w:vAlign w:val="center"/>
          </w:tcPr>
          <w:p w14:paraId="75C6CBB9" w14:textId="645B304F" w:rsidR="0049224B" w:rsidRPr="002F7079" w:rsidRDefault="000D7B67" w:rsidP="00711372">
            <w:pPr>
              <w:jc w:val="center"/>
              <w:rPr>
                <w:rFonts w:cstheme="minorHAnsi"/>
                <w:sz w:val="18"/>
                <w:szCs w:val="18"/>
              </w:rPr>
            </w:pPr>
            <w:r w:rsidRPr="002F7079">
              <w:rPr>
                <w:rFonts w:cs="Calibri"/>
                <w:sz w:val="18"/>
                <w:szCs w:val="18"/>
                <w:lang w:val="en-US"/>
              </w:rPr>
              <w:t>(Bischoff et al, 2023)</w:t>
            </w:r>
          </w:p>
        </w:tc>
      </w:tr>
      <w:tr w:rsidR="002F7079" w:rsidRPr="00AF0BBB" w14:paraId="01313AD0" w14:textId="77777777" w:rsidTr="00711372">
        <w:trPr>
          <w:cantSplit/>
          <w:trHeight w:val="128"/>
        </w:trPr>
        <w:tc>
          <w:tcPr>
            <w:tcW w:w="1617" w:type="dxa"/>
            <w:vMerge w:val="restart"/>
            <w:shd w:val="clear" w:color="auto" w:fill="FFFFFF" w:themeFill="background1"/>
            <w:vAlign w:val="center"/>
          </w:tcPr>
          <w:p w14:paraId="33CE42DD" w14:textId="77777777" w:rsidR="0049224B" w:rsidRPr="002F7079" w:rsidRDefault="0049224B" w:rsidP="00711372">
            <w:pPr>
              <w:rPr>
                <w:rFonts w:cstheme="minorHAnsi"/>
                <w:sz w:val="18"/>
                <w:szCs w:val="18"/>
              </w:rPr>
            </w:pPr>
            <w:r w:rsidRPr="002F7079">
              <w:rPr>
                <w:rFonts w:cstheme="minorHAnsi"/>
                <w:sz w:val="18"/>
                <w:szCs w:val="18"/>
              </w:rPr>
              <w:t>Duração da cirurgia</w:t>
            </w:r>
          </w:p>
        </w:tc>
        <w:tc>
          <w:tcPr>
            <w:tcW w:w="1621" w:type="dxa"/>
            <w:shd w:val="clear" w:color="auto" w:fill="FFFFFF" w:themeFill="background1"/>
          </w:tcPr>
          <w:p w14:paraId="0AE7D4AE" w14:textId="77777777" w:rsidR="0049224B" w:rsidRPr="002F7079" w:rsidRDefault="0049224B" w:rsidP="00711372">
            <w:pPr>
              <w:pStyle w:val="PargrafodaLista"/>
              <w:ind w:left="461"/>
              <w:contextualSpacing w:val="0"/>
              <w:jc w:val="center"/>
              <w:rPr>
                <w:rFonts w:cstheme="minorHAnsi"/>
                <w:sz w:val="18"/>
                <w:szCs w:val="18"/>
              </w:rPr>
            </w:pPr>
          </w:p>
        </w:tc>
        <w:tc>
          <w:tcPr>
            <w:tcW w:w="1701" w:type="dxa"/>
            <w:shd w:val="clear" w:color="auto" w:fill="FFFFFF" w:themeFill="background1"/>
            <w:vAlign w:val="center"/>
          </w:tcPr>
          <w:p w14:paraId="7AD6DA1E" w14:textId="77777777" w:rsidR="0049224B" w:rsidRPr="002F7079" w:rsidRDefault="0049224B" w:rsidP="00711372">
            <w:pPr>
              <w:pStyle w:val="PargrafodaLista"/>
              <w:ind w:left="458"/>
              <w:contextualSpacing w:val="0"/>
              <w:rPr>
                <w:rFonts w:cstheme="minorHAnsi"/>
                <w:sz w:val="18"/>
                <w:szCs w:val="18"/>
              </w:rPr>
            </w:pPr>
            <w:r w:rsidRPr="002F7079">
              <w:rPr>
                <w:rFonts w:cstheme="minorHAnsi"/>
                <w:sz w:val="18"/>
                <w:szCs w:val="18"/>
              </w:rPr>
              <w:t>&gt;duração</w:t>
            </w:r>
          </w:p>
        </w:tc>
        <w:tc>
          <w:tcPr>
            <w:tcW w:w="1701" w:type="dxa"/>
            <w:shd w:val="clear" w:color="auto" w:fill="FFFFFF" w:themeFill="background1"/>
          </w:tcPr>
          <w:p w14:paraId="1F7AB8F8"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4216D68A" w14:textId="24C0650A" w:rsidR="0049224B" w:rsidRPr="002F7079" w:rsidRDefault="000D7B67" w:rsidP="00711372">
            <w:pPr>
              <w:jc w:val="center"/>
              <w:rPr>
                <w:rFonts w:cstheme="minorHAnsi"/>
                <w:sz w:val="18"/>
                <w:szCs w:val="18"/>
                <w:lang w:val="en-US"/>
              </w:rPr>
            </w:pPr>
            <w:r w:rsidRPr="002F7079">
              <w:rPr>
                <w:rFonts w:cs="Calibri"/>
                <w:sz w:val="18"/>
                <w:szCs w:val="18"/>
                <w:lang w:val="en-US"/>
              </w:rPr>
              <w:t>(Bischoff et al, 2023</w:t>
            </w:r>
            <w:r w:rsidR="0049224B" w:rsidRPr="002F7079">
              <w:rPr>
                <w:rFonts w:cstheme="minorHAnsi"/>
                <w:sz w:val="18"/>
                <w:szCs w:val="18"/>
                <w:lang w:val="en-US"/>
              </w:rPr>
              <w:t xml:space="preserve">; </w:t>
            </w:r>
            <w:r w:rsidRPr="002F7079">
              <w:rPr>
                <w:rFonts w:cs="Calibri"/>
                <w:sz w:val="18"/>
                <w:szCs w:val="18"/>
                <w:lang w:val="en-US"/>
              </w:rPr>
              <w:t>Bohl et al, 2018</w:t>
            </w:r>
            <w:r w:rsidR="0049224B" w:rsidRPr="002F7079">
              <w:rPr>
                <w:rFonts w:cstheme="minorHAnsi"/>
                <w:sz w:val="18"/>
                <w:szCs w:val="18"/>
                <w:lang w:val="en-US"/>
              </w:rPr>
              <w:t xml:space="preserve">; </w:t>
            </w:r>
            <w:r w:rsidRPr="002F7079">
              <w:rPr>
                <w:rFonts w:cs="Calibri"/>
                <w:sz w:val="18"/>
                <w:szCs w:val="18"/>
                <w:lang w:val="en-US"/>
              </w:rPr>
              <w:t>Hanada et al, 2020</w:t>
            </w:r>
            <w:r w:rsidR="0049224B" w:rsidRPr="002F7079">
              <w:rPr>
                <w:rFonts w:cstheme="minorHAnsi"/>
                <w:sz w:val="18"/>
                <w:szCs w:val="18"/>
                <w:lang w:val="en-US"/>
              </w:rPr>
              <w:t xml:space="preserve">; </w:t>
            </w:r>
            <w:r w:rsidRPr="002F7079">
              <w:rPr>
                <w:rFonts w:cs="Calibri"/>
                <w:sz w:val="18"/>
                <w:szCs w:val="18"/>
                <w:lang w:val="en-US"/>
              </w:rPr>
              <w:t>Anis et al, 2019</w:t>
            </w:r>
            <w:r w:rsidR="0049224B" w:rsidRPr="002F7079">
              <w:rPr>
                <w:rFonts w:cstheme="minorHAnsi"/>
                <w:sz w:val="18"/>
                <w:szCs w:val="18"/>
                <w:lang w:val="en-US"/>
              </w:rPr>
              <w:t xml:space="preserve">; </w:t>
            </w:r>
            <w:r w:rsidR="00713648" w:rsidRPr="002F7079">
              <w:rPr>
                <w:rFonts w:cs="Calibri"/>
                <w:sz w:val="18"/>
                <w:szCs w:val="18"/>
                <w:lang w:val="en-US"/>
              </w:rPr>
              <w:t>Teo et al, 2018)</w:t>
            </w:r>
          </w:p>
        </w:tc>
      </w:tr>
      <w:tr w:rsidR="002F7079" w:rsidRPr="002F7079" w14:paraId="6E624592" w14:textId="77777777" w:rsidTr="00711372">
        <w:trPr>
          <w:cantSplit/>
          <w:trHeight w:val="20"/>
        </w:trPr>
        <w:tc>
          <w:tcPr>
            <w:tcW w:w="1617" w:type="dxa"/>
            <w:vMerge/>
            <w:shd w:val="clear" w:color="auto" w:fill="FFFFFF" w:themeFill="background1"/>
            <w:vAlign w:val="center"/>
          </w:tcPr>
          <w:p w14:paraId="58A9E666" w14:textId="77777777" w:rsidR="0049224B" w:rsidRPr="002F7079" w:rsidRDefault="0049224B" w:rsidP="00711372">
            <w:pPr>
              <w:rPr>
                <w:rFonts w:cstheme="minorHAnsi"/>
                <w:sz w:val="18"/>
                <w:szCs w:val="18"/>
                <w:lang w:val="en-US"/>
              </w:rPr>
            </w:pPr>
          </w:p>
        </w:tc>
        <w:tc>
          <w:tcPr>
            <w:tcW w:w="1621" w:type="dxa"/>
            <w:shd w:val="clear" w:color="auto" w:fill="FFFFFF" w:themeFill="background1"/>
          </w:tcPr>
          <w:p w14:paraId="08F8B0AC" w14:textId="77777777" w:rsidR="0049224B" w:rsidRPr="002F7079" w:rsidRDefault="0049224B" w:rsidP="00711372">
            <w:pPr>
              <w:pStyle w:val="PargrafodaLista"/>
              <w:ind w:left="461"/>
              <w:contextualSpacing w:val="0"/>
              <w:jc w:val="center"/>
              <w:rPr>
                <w:rFonts w:cstheme="minorHAnsi"/>
                <w:sz w:val="18"/>
                <w:szCs w:val="18"/>
                <w:lang w:val="en-US"/>
              </w:rPr>
            </w:pPr>
          </w:p>
        </w:tc>
        <w:tc>
          <w:tcPr>
            <w:tcW w:w="1701" w:type="dxa"/>
            <w:shd w:val="clear" w:color="auto" w:fill="FFFFFF" w:themeFill="background1"/>
          </w:tcPr>
          <w:p w14:paraId="479E7EB7" w14:textId="77777777" w:rsidR="0049224B" w:rsidRPr="002F7079" w:rsidRDefault="0049224B" w:rsidP="00711372">
            <w:pPr>
              <w:jc w:val="center"/>
              <w:rPr>
                <w:rFonts w:cstheme="minorHAnsi"/>
                <w:sz w:val="18"/>
                <w:szCs w:val="18"/>
              </w:rPr>
            </w:pPr>
            <w:r w:rsidRPr="002F7079">
              <w:rPr>
                <w:rFonts w:cstheme="minorHAnsi"/>
                <w:sz w:val="18"/>
                <w:szCs w:val="18"/>
              </w:rPr>
              <w:t>&gt;90 minutos</w:t>
            </w:r>
          </w:p>
        </w:tc>
        <w:tc>
          <w:tcPr>
            <w:tcW w:w="1701" w:type="dxa"/>
            <w:shd w:val="clear" w:color="auto" w:fill="FFFFFF" w:themeFill="background1"/>
          </w:tcPr>
          <w:p w14:paraId="26701038"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342AF0BD" w14:textId="506A2F6A" w:rsidR="0049224B" w:rsidRPr="002F7079" w:rsidRDefault="000D7B67" w:rsidP="00711372">
            <w:pPr>
              <w:jc w:val="center"/>
              <w:rPr>
                <w:rFonts w:cstheme="minorHAnsi"/>
                <w:sz w:val="18"/>
                <w:szCs w:val="18"/>
              </w:rPr>
            </w:pPr>
            <w:r w:rsidRPr="002F7079">
              <w:rPr>
                <w:rFonts w:cs="Calibri"/>
                <w:sz w:val="18"/>
                <w:szCs w:val="18"/>
                <w:lang w:val="en-US"/>
              </w:rPr>
              <w:t>(Wang et al, 2019)</w:t>
            </w:r>
          </w:p>
        </w:tc>
      </w:tr>
      <w:tr w:rsidR="002F7079" w:rsidRPr="002F7079" w14:paraId="4E48617B" w14:textId="77777777" w:rsidTr="00711372">
        <w:trPr>
          <w:cantSplit/>
          <w:trHeight w:val="288"/>
        </w:trPr>
        <w:tc>
          <w:tcPr>
            <w:tcW w:w="1617" w:type="dxa"/>
            <w:vMerge/>
            <w:shd w:val="clear" w:color="auto" w:fill="FFFFFF" w:themeFill="background1"/>
            <w:vAlign w:val="center"/>
          </w:tcPr>
          <w:p w14:paraId="4B13D3BF" w14:textId="77777777" w:rsidR="0049224B" w:rsidRPr="002F7079" w:rsidRDefault="0049224B" w:rsidP="00711372">
            <w:pPr>
              <w:rPr>
                <w:rFonts w:cstheme="minorHAnsi"/>
                <w:sz w:val="18"/>
                <w:szCs w:val="18"/>
              </w:rPr>
            </w:pPr>
          </w:p>
        </w:tc>
        <w:tc>
          <w:tcPr>
            <w:tcW w:w="1621" w:type="dxa"/>
            <w:shd w:val="clear" w:color="auto" w:fill="FFFFFF" w:themeFill="background1"/>
          </w:tcPr>
          <w:p w14:paraId="52AF1AD5" w14:textId="77777777" w:rsidR="0049224B" w:rsidRPr="002F7079" w:rsidRDefault="0049224B" w:rsidP="00711372">
            <w:pPr>
              <w:pStyle w:val="PargrafodaLista"/>
              <w:ind w:left="461"/>
              <w:contextualSpacing w:val="0"/>
              <w:jc w:val="center"/>
              <w:rPr>
                <w:rFonts w:cstheme="minorHAnsi"/>
                <w:sz w:val="18"/>
                <w:szCs w:val="18"/>
              </w:rPr>
            </w:pPr>
          </w:p>
        </w:tc>
        <w:tc>
          <w:tcPr>
            <w:tcW w:w="1701" w:type="dxa"/>
            <w:shd w:val="clear" w:color="auto" w:fill="FFFFFF" w:themeFill="background1"/>
          </w:tcPr>
          <w:p w14:paraId="22A52C0E" w14:textId="77777777" w:rsidR="0049224B" w:rsidRPr="002F7079" w:rsidRDefault="0049224B" w:rsidP="00711372">
            <w:pPr>
              <w:jc w:val="center"/>
              <w:rPr>
                <w:rFonts w:cstheme="minorHAnsi"/>
                <w:sz w:val="18"/>
                <w:szCs w:val="18"/>
              </w:rPr>
            </w:pPr>
            <w:r w:rsidRPr="002F7079">
              <w:rPr>
                <w:rFonts w:cstheme="minorHAnsi"/>
                <w:sz w:val="18"/>
                <w:szCs w:val="18"/>
              </w:rPr>
              <w:t>&gt;120 minutos</w:t>
            </w:r>
          </w:p>
        </w:tc>
        <w:tc>
          <w:tcPr>
            <w:tcW w:w="1701" w:type="dxa"/>
            <w:shd w:val="clear" w:color="auto" w:fill="FFFFFF" w:themeFill="background1"/>
          </w:tcPr>
          <w:p w14:paraId="3597E449"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1F1D9E23" w14:textId="625440BB" w:rsidR="0049224B" w:rsidRPr="002F7079" w:rsidRDefault="000D7B67" w:rsidP="00711372">
            <w:pPr>
              <w:jc w:val="center"/>
              <w:rPr>
                <w:rFonts w:cstheme="minorHAnsi"/>
                <w:sz w:val="18"/>
                <w:szCs w:val="18"/>
              </w:rPr>
            </w:pPr>
            <w:r w:rsidRPr="002F7079">
              <w:rPr>
                <w:rFonts w:cs="Calibri"/>
                <w:sz w:val="18"/>
                <w:szCs w:val="18"/>
              </w:rPr>
              <w:t>(</w:t>
            </w:r>
            <w:proofErr w:type="spellStart"/>
            <w:r w:rsidRPr="002F7079">
              <w:rPr>
                <w:rFonts w:cs="Calibri"/>
                <w:sz w:val="18"/>
                <w:szCs w:val="18"/>
              </w:rPr>
              <w:t>Falótico</w:t>
            </w:r>
            <w:proofErr w:type="spellEnd"/>
            <w:r w:rsidRPr="002F7079">
              <w:rPr>
                <w:rFonts w:cs="Calibri"/>
                <w:sz w:val="18"/>
                <w:szCs w:val="18"/>
              </w:rPr>
              <w:t xml:space="preserve"> </w:t>
            </w:r>
            <w:proofErr w:type="spellStart"/>
            <w:r w:rsidRPr="002F7079">
              <w:rPr>
                <w:rFonts w:cs="Calibri"/>
                <w:sz w:val="18"/>
                <w:szCs w:val="18"/>
              </w:rPr>
              <w:t>et</w:t>
            </w:r>
            <w:proofErr w:type="spellEnd"/>
            <w:r w:rsidRPr="002F7079">
              <w:rPr>
                <w:rFonts w:cs="Calibri"/>
                <w:sz w:val="18"/>
                <w:szCs w:val="18"/>
              </w:rPr>
              <w:t xml:space="preserve"> al, 2022)</w:t>
            </w:r>
          </w:p>
        </w:tc>
      </w:tr>
      <w:tr w:rsidR="002F7079" w:rsidRPr="002F7079" w14:paraId="1410680F" w14:textId="77777777" w:rsidTr="00711372">
        <w:trPr>
          <w:cantSplit/>
          <w:trHeight w:val="263"/>
        </w:trPr>
        <w:tc>
          <w:tcPr>
            <w:tcW w:w="1617" w:type="dxa"/>
            <w:vMerge/>
            <w:shd w:val="clear" w:color="auto" w:fill="FFFFFF" w:themeFill="background1"/>
            <w:vAlign w:val="center"/>
          </w:tcPr>
          <w:p w14:paraId="49D09170" w14:textId="77777777" w:rsidR="0049224B" w:rsidRPr="002F7079" w:rsidRDefault="0049224B" w:rsidP="00711372">
            <w:pPr>
              <w:rPr>
                <w:rFonts w:cstheme="minorHAnsi"/>
                <w:sz w:val="18"/>
                <w:szCs w:val="18"/>
              </w:rPr>
            </w:pPr>
          </w:p>
        </w:tc>
        <w:tc>
          <w:tcPr>
            <w:tcW w:w="1621" w:type="dxa"/>
            <w:shd w:val="clear" w:color="auto" w:fill="FFFFFF" w:themeFill="background1"/>
          </w:tcPr>
          <w:p w14:paraId="616842C9" w14:textId="77777777" w:rsidR="0049224B" w:rsidRPr="002F7079" w:rsidRDefault="0049224B" w:rsidP="00711372">
            <w:pPr>
              <w:pStyle w:val="PargrafodaLista"/>
              <w:ind w:left="461"/>
              <w:contextualSpacing w:val="0"/>
              <w:jc w:val="center"/>
              <w:rPr>
                <w:rFonts w:cstheme="minorHAnsi"/>
                <w:sz w:val="18"/>
                <w:szCs w:val="18"/>
              </w:rPr>
            </w:pPr>
          </w:p>
        </w:tc>
        <w:tc>
          <w:tcPr>
            <w:tcW w:w="1701" w:type="dxa"/>
            <w:shd w:val="clear" w:color="auto" w:fill="FFFFFF" w:themeFill="background1"/>
          </w:tcPr>
          <w:p w14:paraId="77D715B2" w14:textId="77777777" w:rsidR="0049224B" w:rsidRPr="002F7079" w:rsidRDefault="0049224B" w:rsidP="00711372">
            <w:pPr>
              <w:jc w:val="center"/>
              <w:rPr>
                <w:rFonts w:cstheme="minorHAnsi"/>
                <w:sz w:val="18"/>
                <w:szCs w:val="18"/>
              </w:rPr>
            </w:pPr>
            <w:r w:rsidRPr="002F7079">
              <w:rPr>
                <w:rFonts w:cstheme="minorHAnsi"/>
                <w:sz w:val="18"/>
                <w:szCs w:val="18"/>
              </w:rPr>
              <w:t>&gt;180 minutos</w:t>
            </w:r>
          </w:p>
        </w:tc>
        <w:tc>
          <w:tcPr>
            <w:tcW w:w="1701" w:type="dxa"/>
            <w:shd w:val="clear" w:color="auto" w:fill="FFFFFF" w:themeFill="background1"/>
          </w:tcPr>
          <w:p w14:paraId="11685776"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6AEFFED7" w14:textId="5AACBCD8" w:rsidR="0049224B" w:rsidRPr="002F7079" w:rsidRDefault="000D7B67" w:rsidP="00711372">
            <w:pPr>
              <w:jc w:val="center"/>
              <w:rPr>
                <w:rFonts w:cstheme="minorHAnsi"/>
                <w:sz w:val="18"/>
                <w:szCs w:val="18"/>
              </w:rPr>
            </w:pPr>
            <w:r w:rsidRPr="002F7079">
              <w:rPr>
                <w:rFonts w:cs="Calibri"/>
                <w:sz w:val="18"/>
                <w:szCs w:val="18"/>
                <w:lang w:val="en-US"/>
              </w:rPr>
              <w:t>(Baier et al, 2019)</w:t>
            </w:r>
          </w:p>
        </w:tc>
      </w:tr>
      <w:tr w:rsidR="002F7079" w:rsidRPr="002F7079" w14:paraId="60D425E6" w14:textId="77777777" w:rsidTr="00711372">
        <w:trPr>
          <w:cantSplit/>
          <w:trHeight w:val="282"/>
        </w:trPr>
        <w:tc>
          <w:tcPr>
            <w:tcW w:w="1617" w:type="dxa"/>
            <w:vMerge/>
            <w:shd w:val="clear" w:color="auto" w:fill="FFFFFF" w:themeFill="background1"/>
            <w:vAlign w:val="center"/>
          </w:tcPr>
          <w:p w14:paraId="5474B4EE" w14:textId="77777777" w:rsidR="0049224B" w:rsidRPr="002F7079" w:rsidRDefault="0049224B" w:rsidP="00711372">
            <w:pPr>
              <w:rPr>
                <w:rFonts w:cstheme="minorHAnsi"/>
                <w:sz w:val="18"/>
                <w:szCs w:val="18"/>
              </w:rPr>
            </w:pPr>
          </w:p>
        </w:tc>
        <w:tc>
          <w:tcPr>
            <w:tcW w:w="1621" w:type="dxa"/>
            <w:shd w:val="clear" w:color="auto" w:fill="FFFFFF" w:themeFill="background1"/>
          </w:tcPr>
          <w:p w14:paraId="1C4DF21E" w14:textId="77777777" w:rsidR="0049224B" w:rsidRPr="002F7079" w:rsidRDefault="0049224B" w:rsidP="00711372">
            <w:pPr>
              <w:pStyle w:val="PargrafodaLista"/>
              <w:ind w:left="461"/>
              <w:contextualSpacing w:val="0"/>
              <w:jc w:val="center"/>
              <w:rPr>
                <w:rFonts w:cstheme="minorHAnsi"/>
                <w:sz w:val="18"/>
                <w:szCs w:val="18"/>
              </w:rPr>
            </w:pPr>
          </w:p>
        </w:tc>
        <w:tc>
          <w:tcPr>
            <w:tcW w:w="1701" w:type="dxa"/>
            <w:shd w:val="clear" w:color="auto" w:fill="FFFFFF" w:themeFill="background1"/>
          </w:tcPr>
          <w:p w14:paraId="754E32B3" w14:textId="77777777" w:rsidR="0049224B" w:rsidRPr="002F7079" w:rsidRDefault="0049224B" w:rsidP="00711372">
            <w:pPr>
              <w:jc w:val="center"/>
              <w:rPr>
                <w:rFonts w:cstheme="minorHAnsi"/>
                <w:sz w:val="18"/>
                <w:szCs w:val="18"/>
              </w:rPr>
            </w:pPr>
            <w:r w:rsidRPr="002F7079">
              <w:rPr>
                <w:rFonts w:cstheme="minorHAnsi"/>
                <w:sz w:val="18"/>
                <w:szCs w:val="18"/>
              </w:rPr>
              <w:t>ATJ Bilateral e Revisão</w:t>
            </w:r>
          </w:p>
        </w:tc>
        <w:tc>
          <w:tcPr>
            <w:tcW w:w="1701" w:type="dxa"/>
            <w:shd w:val="clear" w:color="auto" w:fill="FFFFFF" w:themeFill="background1"/>
          </w:tcPr>
          <w:p w14:paraId="53FBFA02"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04B2F7AC" w14:textId="6E601F93" w:rsidR="0049224B" w:rsidRPr="002F7079" w:rsidRDefault="00713648" w:rsidP="00711372">
            <w:pPr>
              <w:jc w:val="center"/>
              <w:rPr>
                <w:rFonts w:cstheme="minorHAnsi"/>
                <w:sz w:val="18"/>
                <w:szCs w:val="18"/>
              </w:rPr>
            </w:pPr>
            <w:r w:rsidRPr="002F7079">
              <w:rPr>
                <w:rFonts w:cs="Calibri"/>
                <w:sz w:val="18"/>
                <w:szCs w:val="18"/>
                <w:lang w:val="en-US"/>
              </w:rPr>
              <w:t>(Ko et al, 2021)</w:t>
            </w:r>
          </w:p>
        </w:tc>
      </w:tr>
      <w:tr w:rsidR="002F7079" w:rsidRPr="002F7079" w14:paraId="74173538" w14:textId="77777777" w:rsidTr="00711372">
        <w:trPr>
          <w:cantSplit/>
          <w:trHeight w:val="242"/>
        </w:trPr>
        <w:tc>
          <w:tcPr>
            <w:tcW w:w="1617" w:type="dxa"/>
            <w:vMerge/>
            <w:shd w:val="clear" w:color="auto" w:fill="FFFFFF" w:themeFill="background1"/>
            <w:vAlign w:val="center"/>
          </w:tcPr>
          <w:p w14:paraId="45BECD09" w14:textId="77777777" w:rsidR="0049224B" w:rsidRPr="002F7079" w:rsidRDefault="0049224B" w:rsidP="00711372">
            <w:pPr>
              <w:rPr>
                <w:rFonts w:cstheme="minorHAnsi"/>
                <w:sz w:val="18"/>
                <w:szCs w:val="18"/>
              </w:rPr>
            </w:pPr>
          </w:p>
        </w:tc>
        <w:tc>
          <w:tcPr>
            <w:tcW w:w="1621" w:type="dxa"/>
            <w:shd w:val="clear" w:color="auto" w:fill="FFFFFF" w:themeFill="background1"/>
          </w:tcPr>
          <w:p w14:paraId="43CC9C00" w14:textId="77777777" w:rsidR="0049224B" w:rsidRPr="002F7079" w:rsidRDefault="0049224B" w:rsidP="00711372">
            <w:pPr>
              <w:pStyle w:val="PargrafodaLista"/>
              <w:ind w:left="461"/>
              <w:contextualSpacing w:val="0"/>
              <w:jc w:val="center"/>
              <w:rPr>
                <w:rFonts w:cstheme="minorHAnsi"/>
                <w:sz w:val="18"/>
                <w:szCs w:val="18"/>
              </w:rPr>
            </w:pPr>
          </w:p>
        </w:tc>
        <w:tc>
          <w:tcPr>
            <w:tcW w:w="1701" w:type="dxa"/>
            <w:shd w:val="clear" w:color="auto" w:fill="FFFFFF" w:themeFill="background1"/>
          </w:tcPr>
          <w:p w14:paraId="1B897BA7"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04596C5F" w14:textId="77777777" w:rsidR="0049224B" w:rsidRPr="002F7079" w:rsidRDefault="0049224B" w:rsidP="00711372">
            <w:pPr>
              <w:jc w:val="center"/>
              <w:rPr>
                <w:rFonts w:cstheme="minorHAnsi"/>
                <w:sz w:val="18"/>
                <w:szCs w:val="18"/>
              </w:rPr>
            </w:pPr>
            <w:r w:rsidRPr="002F7079">
              <w:rPr>
                <w:rFonts w:cstheme="minorHAnsi"/>
                <w:sz w:val="18"/>
                <w:szCs w:val="18"/>
              </w:rPr>
              <w:t>Internamento   &gt;35 dias</w:t>
            </w:r>
          </w:p>
        </w:tc>
        <w:tc>
          <w:tcPr>
            <w:tcW w:w="3260" w:type="dxa"/>
            <w:shd w:val="clear" w:color="auto" w:fill="FFFFFF" w:themeFill="background1"/>
            <w:vAlign w:val="center"/>
          </w:tcPr>
          <w:p w14:paraId="759F1C8D" w14:textId="5C24EE6F" w:rsidR="0049224B" w:rsidRPr="002F7079" w:rsidRDefault="00713648" w:rsidP="00711372">
            <w:pPr>
              <w:jc w:val="center"/>
              <w:rPr>
                <w:rFonts w:cstheme="minorHAnsi"/>
                <w:sz w:val="18"/>
                <w:szCs w:val="18"/>
              </w:rPr>
            </w:pPr>
            <w:r w:rsidRPr="002F7079">
              <w:rPr>
                <w:rFonts w:cs="Calibri"/>
                <w:sz w:val="18"/>
                <w:szCs w:val="18"/>
                <w:lang w:val="en-US"/>
              </w:rPr>
              <w:t>(Ko et al, 2021)</w:t>
            </w:r>
          </w:p>
        </w:tc>
      </w:tr>
      <w:tr w:rsidR="002F7079" w:rsidRPr="002F7079" w14:paraId="74F80D8A" w14:textId="77777777" w:rsidTr="00711372">
        <w:trPr>
          <w:cantSplit/>
          <w:trHeight w:val="377"/>
        </w:trPr>
        <w:tc>
          <w:tcPr>
            <w:tcW w:w="1617" w:type="dxa"/>
            <w:shd w:val="clear" w:color="auto" w:fill="FFFFFF" w:themeFill="background1"/>
            <w:vAlign w:val="center"/>
          </w:tcPr>
          <w:p w14:paraId="3961AA0B" w14:textId="77777777" w:rsidR="0049224B" w:rsidRPr="002F7079" w:rsidRDefault="0049224B" w:rsidP="00711372">
            <w:pPr>
              <w:rPr>
                <w:rFonts w:cstheme="minorHAnsi"/>
                <w:sz w:val="18"/>
                <w:szCs w:val="18"/>
              </w:rPr>
            </w:pPr>
            <w:r w:rsidRPr="002F7079">
              <w:rPr>
                <w:rFonts w:cstheme="minorHAnsi"/>
                <w:sz w:val="18"/>
                <w:szCs w:val="18"/>
              </w:rPr>
              <w:t>Estado Nutricional</w:t>
            </w:r>
          </w:p>
        </w:tc>
        <w:tc>
          <w:tcPr>
            <w:tcW w:w="5023" w:type="dxa"/>
            <w:gridSpan w:val="3"/>
            <w:shd w:val="clear" w:color="auto" w:fill="FFFFFF" w:themeFill="background1"/>
            <w:vAlign w:val="center"/>
          </w:tcPr>
          <w:p w14:paraId="72C535D8" w14:textId="77777777" w:rsidR="0049224B" w:rsidRPr="002F7079" w:rsidRDefault="0049224B" w:rsidP="00711372">
            <w:pPr>
              <w:jc w:val="center"/>
              <w:rPr>
                <w:rFonts w:cstheme="minorHAnsi"/>
                <w:sz w:val="18"/>
                <w:szCs w:val="18"/>
              </w:rPr>
            </w:pPr>
            <w:r w:rsidRPr="002F7079">
              <w:rPr>
                <w:rFonts w:cstheme="minorHAnsi"/>
                <w:sz w:val="18"/>
                <w:szCs w:val="18"/>
              </w:rPr>
              <w:t>Desnutrição</w:t>
            </w:r>
          </w:p>
        </w:tc>
        <w:tc>
          <w:tcPr>
            <w:tcW w:w="3260" w:type="dxa"/>
            <w:shd w:val="clear" w:color="auto" w:fill="FFFFFF" w:themeFill="background1"/>
            <w:vAlign w:val="center"/>
          </w:tcPr>
          <w:p w14:paraId="12AF951C" w14:textId="0B256668" w:rsidR="0049224B" w:rsidRPr="002F7079" w:rsidRDefault="000D7B67" w:rsidP="00711372">
            <w:pPr>
              <w:jc w:val="center"/>
              <w:rPr>
                <w:rFonts w:cstheme="minorHAnsi"/>
                <w:sz w:val="18"/>
                <w:szCs w:val="18"/>
              </w:rPr>
            </w:pPr>
            <w:r w:rsidRPr="002F7079">
              <w:rPr>
                <w:rFonts w:cs="Calibri"/>
                <w:sz w:val="18"/>
                <w:szCs w:val="18"/>
                <w:lang w:val="en-US"/>
              </w:rPr>
              <w:t>(Roche et al, 2018)</w:t>
            </w:r>
          </w:p>
        </w:tc>
      </w:tr>
      <w:tr w:rsidR="002F7079" w:rsidRPr="002F7079" w14:paraId="25B39B9C" w14:textId="77777777" w:rsidTr="00711372">
        <w:trPr>
          <w:cantSplit/>
          <w:trHeight w:val="20"/>
        </w:trPr>
        <w:tc>
          <w:tcPr>
            <w:tcW w:w="1617" w:type="dxa"/>
            <w:vMerge w:val="restart"/>
            <w:shd w:val="clear" w:color="auto" w:fill="FFFFFF" w:themeFill="background1"/>
            <w:vAlign w:val="center"/>
          </w:tcPr>
          <w:p w14:paraId="6B2C5414" w14:textId="77777777" w:rsidR="0049224B" w:rsidRPr="002F7079" w:rsidRDefault="0049224B" w:rsidP="00711372">
            <w:pPr>
              <w:rPr>
                <w:rFonts w:cstheme="minorHAnsi"/>
                <w:sz w:val="18"/>
                <w:szCs w:val="18"/>
              </w:rPr>
            </w:pPr>
            <w:r w:rsidRPr="002F7079">
              <w:rPr>
                <w:rFonts w:cstheme="minorHAnsi"/>
                <w:sz w:val="18"/>
                <w:szCs w:val="18"/>
              </w:rPr>
              <w:lastRenderedPageBreak/>
              <w:t>Analíticos</w:t>
            </w:r>
          </w:p>
        </w:tc>
        <w:tc>
          <w:tcPr>
            <w:tcW w:w="1621" w:type="dxa"/>
            <w:shd w:val="clear" w:color="auto" w:fill="FFFFFF" w:themeFill="background1"/>
          </w:tcPr>
          <w:p w14:paraId="1EA2614E" w14:textId="77777777" w:rsidR="0049224B" w:rsidRPr="002F7079" w:rsidRDefault="0049224B" w:rsidP="00711372">
            <w:pPr>
              <w:jc w:val="center"/>
              <w:rPr>
                <w:rFonts w:cstheme="minorHAnsi"/>
                <w:sz w:val="18"/>
                <w:szCs w:val="18"/>
              </w:rPr>
            </w:pPr>
            <w:r w:rsidRPr="002F7079">
              <w:rPr>
                <w:rFonts w:cstheme="minorHAnsi"/>
                <w:sz w:val="18"/>
                <w:szCs w:val="18"/>
              </w:rPr>
              <w:t>Valor Albumina baixo</w:t>
            </w:r>
          </w:p>
        </w:tc>
        <w:tc>
          <w:tcPr>
            <w:tcW w:w="1701" w:type="dxa"/>
            <w:shd w:val="clear" w:color="auto" w:fill="FFFFFF" w:themeFill="background1"/>
          </w:tcPr>
          <w:p w14:paraId="567B9F50"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5F9B9FD2"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704F1A5F" w14:textId="5780339B" w:rsidR="0049224B" w:rsidRPr="002F7079" w:rsidRDefault="000D7B67" w:rsidP="00711372">
            <w:pPr>
              <w:jc w:val="center"/>
              <w:rPr>
                <w:rFonts w:cstheme="minorHAnsi"/>
                <w:sz w:val="18"/>
                <w:szCs w:val="18"/>
              </w:rPr>
            </w:pPr>
            <w:r w:rsidRPr="002F7079">
              <w:rPr>
                <w:rFonts w:cs="Calibri"/>
                <w:sz w:val="18"/>
                <w:szCs w:val="18"/>
                <w:lang w:val="en-US"/>
              </w:rPr>
              <w:t>(Roche et al, 2018)</w:t>
            </w:r>
          </w:p>
        </w:tc>
      </w:tr>
      <w:tr w:rsidR="002F7079" w:rsidRPr="002F7079" w14:paraId="5E540136" w14:textId="77777777" w:rsidTr="00711372">
        <w:trPr>
          <w:cantSplit/>
          <w:trHeight w:val="20"/>
        </w:trPr>
        <w:tc>
          <w:tcPr>
            <w:tcW w:w="1617" w:type="dxa"/>
            <w:vMerge/>
            <w:shd w:val="clear" w:color="auto" w:fill="FFFFFF" w:themeFill="background1"/>
            <w:vAlign w:val="center"/>
          </w:tcPr>
          <w:p w14:paraId="76657521" w14:textId="77777777" w:rsidR="0049224B" w:rsidRPr="002F7079" w:rsidRDefault="0049224B" w:rsidP="00711372">
            <w:pPr>
              <w:rPr>
                <w:rFonts w:cstheme="minorHAnsi"/>
                <w:sz w:val="18"/>
                <w:szCs w:val="18"/>
              </w:rPr>
            </w:pPr>
          </w:p>
        </w:tc>
        <w:tc>
          <w:tcPr>
            <w:tcW w:w="1621" w:type="dxa"/>
            <w:shd w:val="clear" w:color="auto" w:fill="FFFFFF" w:themeFill="background1"/>
          </w:tcPr>
          <w:p w14:paraId="2D4B5B71" w14:textId="016D0A7A" w:rsidR="0049224B" w:rsidRPr="002F7079" w:rsidRDefault="0049224B" w:rsidP="00711372">
            <w:pPr>
              <w:jc w:val="center"/>
              <w:rPr>
                <w:rFonts w:cstheme="minorHAnsi"/>
                <w:sz w:val="18"/>
                <w:szCs w:val="18"/>
              </w:rPr>
            </w:pPr>
            <w:r w:rsidRPr="002F7079">
              <w:rPr>
                <w:rFonts w:cstheme="minorHAnsi"/>
                <w:sz w:val="18"/>
                <w:szCs w:val="18"/>
              </w:rPr>
              <w:t>Valor</w:t>
            </w:r>
            <w:r w:rsidR="00D4669F" w:rsidRPr="002F7079">
              <w:rPr>
                <w:rFonts w:cstheme="minorHAnsi"/>
                <w:sz w:val="18"/>
                <w:szCs w:val="18"/>
              </w:rPr>
              <w:t xml:space="preserve"> de</w:t>
            </w:r>
            <w:r w:rsidR="00D4669F" w:rsidRPr="002F7079">
              <w:rPr>
                <w:rFonts w:cstheme="minorHAnsi"/>
                <w:i/>
                <w:iCs/>
                <w:sz w:val="18"/>
                <w:szCs w:val="18"/>
                <w:shd w:val="clear" w:color="auto" w:fill="FFFFFF"/>
              </w:rPr>
              <w:t xml:space="preserve"> </w:t>
            </w:r>
            <w:r w:rsidR="00D4669F" w:rsidRPr="002F7079">
              <w:rPr>
                <w:rStyle w:val="nfase"/>
                <w:rFonts w:cstheme="minorHAnsi"/>
                <w:i w:val="0"/>
                <w:iCs w:val="0"/>
                <w:sz w:val="18"/>
                <w:szCs w:val="18"/>
                <w:shd w:val="clear" w:color="auto" w:fill="FFFFFF"/>
              </w:rPr>
              <w:t>Volume Corpuscular Médio (</w:t>
            </w:r>
            <w:r w:rsidRPr="002F7079">
              <w:rPr>
                <w:rFonts w:cstheme="minorHAnsi"/>
                <w:sz w:val="18"/>
                <w:szCs w:val="18"/>
              </w:rPr>
              <w:t>VCM</w:t>
            </w:r>
            <w:r w:rsidR="00D4669F" w:rsidRPr="002F7079">
              <w:rPr>
                <w:rFonts w:cstheme="minorHAnsi"/>
                <w:sz w:val="18"/>
                <w:szCs w:val="18"/>
              </w:rPr>
              <w:t>)</w:t>
            </w:r>
            <w:r w:rsidRPr="002F7079">
              <w:rPr>
                <w:rFonts w:cstheme="minorHAnsi"/>
                <w:sz w:val="18"/>
                <w:szCs w:val="18"/>
              </w:rPr>
              <w:t xml:space="preserve"> baixo</w:t>
            </w:r>
          </w:p>
        </w:tc>
        <w:tc>
          <w:tcPr>
            <w:tcW w:w="1701" w:type="dxa"/>
            <w:shd w:val="clear" w:color="auto" w:fill="FFFFFF" w:themeFill="background1"/>
          </w:tcPr>
          <w:p w14:paraId="3EFFB99F"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7380CBBF"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2F154710" w14:textId="223A5D71" w:rsidR="0049224B" w:rsidRPr="002F7079" w:rsidRDefault="000D7B67" w:rsidP="00711372">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333C2F18" w14:textId="77777777" w:rsidTr="00711372">
        <w:trPr>
          <w:cantSplit/>
          <w:trHeight w:val="20"/>
        </w:trPr>
        <w:tc>
          <w:tcPr>
            <w:tcW w:w="1617" w:type="dxa"/>
            <w:vMerge w:val="restart"/>
            <w:shd w:val="clear" w:color="auto" w:fill="FFFFFF" w:themeFill="background1"/>
            <w:vAlign w:val="center"/>
          </w:tcPr>
          <w:p w14:paraId="57BF4AA2" w14:textId="77777777" w:rsidR="0049224B" w:rsidRPr="002F7079" w:rsidRDefault="0049224B" w:rsidP="00711372">
            <w:pPr>
              <w:rPr>
                <w:rFonts w:cstheme="minorHAnsi"/>
                <w:sz w:val="18"/>
                <w:szCs w:val="18"/>
              </w:rPr>
            </w:pPr>
            <w:r w:rsidRPr="002F7079">
              <w:rPr>
                <w:rFonts w:cstheme="minorHAnsi"/>
                <w:sz w:val="18"/>
                <w:szCs w:val="18"/>
              </w:rPr>
              <w:t>Hemorragia</w:t>
            </w:r>
          </w:p>
        </w:tc>
        <w:tc>
          <w:tcPr>
            <w:tcW w:w="1621" w:type="dxa"/>
            <w:shd w:val="clear" w:color="auto" w:fill="FFFFFF" w:themeFill="background1"/>
          </w:tcPr>
          <w:p w14:paraId="609F16C5"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52396F50"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0070318C" w14:textId="77777777" w:rsidR="0049224B" w:rsidRPr="002F7079" w:rsidRDefault="0049224B" w:rsidP="00711372">
            <w:pPr>
              <w:jc w:val="center"/>
              <w:rPr>
                <w:rFonts w:cstheme="minorHAnsi"/>
                <w:sz w:val="18"/>
                <w:szCs w:val="18"/>
              </w:rPr>
            </w:pPr>
            <w:r w:rsidRPr="002F7079">
              <w:rPr>
                <w:rFonts w:cstheme="minorHAnsi"/>
                <w:sz w:val="18"/>
                <w:szCs w:val="18"/>
              </w:rPr>
              <w:t>Transfusão de sangue</w:t>
            </w:r>
          </w:p>
        </w:tc>
        <w:tc>
          <w:tcPr>
            <w:tcW w:w="3260" w:type="dxa"/>
            <w:shd w:val="clear" w:color="auto" w:fill="FFFFFF" w:themeFill="background1"/>
            <w:vAlign w:val="center"/>
          </w:tcPr>
          <w:p w14:paraId="6B298765" w14:textId="2D4DC913" w:rsidR="0049224B" w:rsidRPr="002F7079" w:rsidRDefault="00713648" w:rsidP="00711372">
            <w:pPr>
              <w:jc w:val="center"/>
              <w:rPr>
                <w:rFonts w:cstheme="minorHAnsi"/>
                <w:sz w:val="18"/>
                <w:szCs w:val="18"/>
              </w:rPr>
            </w:pPr>
            <w:r w:rsidRPr="002F7079">
              <w:rPr>
                <w:rFonts w:cs="Calibri"/>
                <w:sz w:val="18"/>
                <w:szCs w:val="18"/>
                <w:lang w:val="en-US"/>
              </w:rPr>
              <w:t>(Rhee et al, 2018)</w:t>
            </w:r>
          </w:p>
        </w:tc>
      </w:tr>
      <w:tr w:rsidR="002F7079" w:rsidRPr="002F7079" w14:paraId="6D2D1893" w14:textId="77777777" w:rsidTr="00711372">
        <w:trPr>
          <w:cantSplit/>
          <w:trHeight w:val="20"/>
        </w:trPr>
        <w:tc>
          <w:tcPr>
            <w:tcW w:w="1617" w:type="dxa"/>
            <w:vMerge/>
            <w:shd w:val="clear" w:color="auto" w:fill="FFFFFF" w:themeFill="background1"/>
            <w:vAlign w:val="center"/>
          </w:tcPr>
          <w:p w14:paraId="26E78569" w14:textId="77777777" w:rsidR="0049224B" w:rsidRPr="002F7079" w:rsidRDefault="0049224B" w:rsidP="00711372">
            <w:pPr>
              <w:rPr>
                <w:rFonts w:cstheme="minorHAnsi"/>
                <w:sz w:val="18"/>
                <w:szCs w:val="18"/>
              </w:rPr>
            </w:pPr>
          </w:p>
        </w:tc>
        <w:tc>
          <w:tcPr>
            <w:tcW w:w="1621" w:type="dxa"/>
            <w:shd w:val="clear" w:color="auto" w:fill="FFFFFF" w:themeFill="background1"/>
          </w:tcPr>
          <w:p w14:paraId="1AF5D0E2"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635B295E" w14:textId="77777777" w:rsidR="0049224B" w:rsidRPr="002F7079" w:rsidRDefault="0049224B" w:rsidP="00711372">
            <w:pPr>
              <w:jc w:val="center"/>
              <w:rPr>
                <w:rFonts w:cstheme="minorHAnsi"/>
                <w:sz w:val="18"/>
                <w:szCs w:val="18"/>
              </w:rPr>
            </w:pPr>
          </w:p>
        </w:tc>
        <w:tc>
          <w:tcPr>
            <w:tcW w:w="1701" w:type="dxa"/>
            <w:shd w:val="clear" w:color="auto" w:fill="FFFFFF" w:themeFill="background1"/>
            <w:vAlign w:val="center"/>
          </w:tcPr>
          <w:p w14:paraId="3B4EEEFD" w14:textId="77777777" w:rsidR="0049224B" w:rsidRPr="002F7079" w:rsidRDefault="0049224B" w:rsidP="00711372">
            <w:pPr>
              <w:jc w:val="center"/>
              <w:rPr>
                <w:rFonts w:cstheme="minorHAnsi"/>
                <w:sz w:val="18"/>
                <w:szCs w:val="18"/>
              </w:rPr>
            </w:pPr>
            <w:r w:rsidRPr="002F7079">
              <w:rPr>
                <w:rFonts w:cstheme="minorHAnsi"/>
                <w:sz w:val="18"/>
                <w:szCs w:val="18"/>
              </w:rPr>
              <w:t>Armazenamento prolongado de sangue antes da perfusão</w:t>
            </w:r>
          </w:p>
        </w:tc>
        <w:tc>
          <w:tcPr>
            <w:tcW w:w="3260" w:type="dxa"/>
            <w:shd w:val="clear" w:color="auto" w:fill="FFFFFF" w:themeFill="background1"/>
            <w:vAlign w:val="center"/>
          </w:tcPr>
          <w:p w14:paraId="5E3332B4" w14:textId="3AB5E31E" w:rsidR="0049224B" w:rsidRPr="002F7079" w:rsidRDefault="000D7B67" w:rsidP="00711372">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0A6E2450" w14:textId="77777777" w:rsidTr="00711372">
        <w:trPr>
          <w:cantSplit/>
          <w:trHeight w:val="244"/>
        </w:trPr>
        <w:tc>
          <w:tcPr>
            <w:tcW w:w="1617" w:type="dxa"/>
            <w:shd w:val="clear" w:color="auto" w:fill="FFFFFF" w:themeFill="background1"/>
            <w:vAlign w:val="center"/>
          </w:tcPr>
          <w:p w14:paraId="7614C2E6" w14:textId="77777777" w:rsidR="0049224B" w:rsidRPr="002F7079" w:rsidRDefault="0049224B" w:rsidP="00711372">
            <w:pPr>
              <w:rPr>
                <w:rFonts w:cstheme="minorHAnsi"/>
                <w:sz w:val="18"/>
                <w:szCs w:val="18"/>
              </w:rPr>
            </w:pPr>
            <w:r w:rsidRPr="002F7079">
              <w:rPr>
                <w:rFonts w:cstheme="minorHAnsi"/>
                <w:sz w:val="18"/>
                <w:szCs w:val="18"/>
              </w:rPr>
              <w:t>Ambiental</w:t>
            </w:r>
          </w:p>
        </w:tc>
        <w:tc>
          <w:tcPr>
            <w:tcW w:w="5023" w:type="dxa"/>
            <w:gridSpan w:val="3"/>
            <w:shd w:val="clear" w:color="auto" w:fill="FFFFFF" w:themeFill="background1"/>
            <w:vAlign w:val="center"/>
          </w:tcPr>
          <w:p w14:paraId="1585E95E" w14:textId="77777777" w:rsidR="0049224B" w:rsidRPr="002F7079" w:rsidRDefault="0049224B" w:rsidP="00711372">
            <w:pPr>
              <w:jc w:val="center"/>
              <w:rPr>
                <w:rFonts w:cstheme="minorHAnsi"/>
                <w:sz w:val="18"/>
                <w:szCs w:val="18"/>
              </w:rPr>
            </w:pPr>
            <w:r w:rsidRPr="002F7079">
              <w:rPr>
                <w:rFonts w:cstheme="minorHAnsi"/>
                <w:sz w:val="18"/>
                <w:szCs w:val="18"/>
              </w:rPr>
              <w:t>Baixa qualidade da ventilação</w:t>
            </w:r>
          </w:p>
        </w:tc>
        <w:tc>
          <w:tcPr>
            <w:tcW w:w="3260" w:type="dxa"/>
            <w:shd w:val="clear" w:color="auto" w:fill="FFFFFF" w:themeFill="background1"/>
            <w:vAlign w:val="center"/>
          </w:tcPr>
          <w:p w14:paraId="4D567FB5" w14:textId="5935EDBB" w:rsidR="0049224B" w:rsidRPr="002F7079" w:rsidRDefault="000D7B67" w:rsidP="00711372">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Surial</w:t>
            </w:r>
            <w:proofErr w:type="spellEnd"/>
            <w:r w:rsidRPr="002F7079">
              <w:rPr>
                <w:rFonts w:cs="Calibri"/>
                <w:sz w:val="18"/>
                <w:szCs w:val="18"/>
                <w:lang w:val="en-US"/>
              </w:rPr>
              <w:t xml:space="preserve"> et al, 2022)</w:t>
            </w:r>
          </w:p>
        </w:tc>
      </w:tr>
      <w:tr w:rsidR="002F7079" w:rsidRPr="00AF0BBB" w14:paraId="16670CE4" w14:textId="77777777" w:rsidTr="00711372">
        <w:trPr>
          <w:cantSplit/>
          <w:trHeight w:val="252"/>
        </w:trPr>
        <w:tc>
          <w:tcPr>
            <w:tcW w:w="1617" w:type="dxa"/>
            <w:vMerge w:val="restart"/>
            <w:shd w:val="clear" w:color="auto" w:fill="FFFFFF" w:themeFill="background1"/>
            <w:vAlign w:val="center"/>
          </w:tcPr>
          <w:p w14:paraId="3E73D792" w14:textId="77777777" w:rsidR="0049224B" w:rsidRPr="002F7079" w:rsidRDefault="0049224B" w:rsidP="00711372">
            <w:pPr>
              <w:rPr>
                <w:rFonts w:cstheme="minorHAnsi"/>
                <w:sz w:val="18"/>
                <w:szCs w:val="18"/>
              </w:rPr>
            </w:pPr>
            <w:r w:rsidRPr="002F7079">
              <w:rPr>
                <w:rFonts w:cstheme="minorHAnsi"/>
                <w:sz w:val="18"/>
                <w:szCs w:val="18"/>
              </w:rPr>
              <w:t>Cicatrização</w:t>
            </w:r>
          </w:p>
        </w:tc>
        <w:tc>
          <w:tcPr>
            <w:tcW w:w="1621" w:type="dxa"/>
            <w:shd w:val="clear" w:color="auto" w:fill="FFFFFF" w:themeFill="background1"/>
          </w:tcPr>
          <w:p w14:paraId="7D21D2F4" w14:textId="77777777" w:rsidR="0049224B" w:rsidRPr="002F7079" w:rsidRDefault="0049224B" w:rsidP="00711372">
            <w:pPr>
              <w:jc w:val="center"/>
              <w:rPr>
                <w:rFonts w:cstheme="minorHAnsi"/>
                <w:sz w:val="18"/>
                <w:szCs w:val="18"/>
              </w:rPr>
            </w:pPr>
            <w:r w:rsidRPr="002F7079">
              <w:rPr>
                <w:rFonts w:cstheme="minorHAnsi"/>
                <w:sz w:val="18"/>
                <w:szCs w:val="18"/>
              </w:rPr>
              <w:t>Úlcera Pé Diabético</w:t>
            </w:r>
          </w:p>
        </w:tc>
        <w:tc>
          <w:tcPr>
            <w:tcW w:w="1701" w:type="dxa"/>
            <w:shd w:val="clear" w:color="auto" w:fill="FFFFFF" w:themeFill="background1"/>
          </w:tcPr>
          <w:p w14:paraId="15A6CF75"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3B7175E0" w14:textId="77777777" w:rsidR="0049224B" w:rsidRPr="002F7079" w:rsidRDefault="0049224B" w:rsidP="00711372">
            <w:pPr>
              <w:jc w:val="center"/>
              <w:rPr>
                <w:rFonts w:cstheme="minorHAnsi"/>
                <w:sz w:val="18"/>
                <w:szCs w:val="18"/>
              </w:rPr>
            </w:pPr>
            <w:r w:rsidRPr="002F7079">
              <w:rPr>
                <w:rFonts w:cstheme="minorHAnsi"/>
                <w:sz w:val="18"/>
                <w:szCs w:val="18"/>
              </w:rPr>
              <w:t>Distúrbios da cicatrização</w:t>
            </w:r>
          </w:p>
        </w:tc>
        <w:tc>
          <w:tcPr>
            <w:tcW w:w="3260" w:type="dxa"/>
            <w:shd w:val="clear" w:color="auto" w:fill="FFFFFF" w:themeFill="background1"/>
            <w:vAlign w:val="center"/>
          </w:tcPr>
          <w:p w14:paraId="0AC3D8F6" w14:textId="555D7F0D" w:rsidR="0049224B" w:rsidRPr="002F7079" w:rsidRDefault="000D7B67" w:rsidP="00711372">
            <w:pPr>
              <w:jc w:val="center"/>
              <w:rPr>
                <w:rFonts w:cstheme="minorHAnsi"/>
                <w:sz w:val="18"/>
                <w:szCs w:val="18"/>
                <w:lang w:val="en-US"/>
              </w:rPr>
            </w:pPr>
            <w:r w:rsidRPr="002F7079">
              <w:rPr>
                <w:rFonts w:cs="Calibri"/>
                <w:sz w:val="18"/>
                <w:szCs w:val="18"/>
                <w:lang w:val="en-US"/>
              </w:rPr>
              <w:t>(Magruder et al, 2024</w:t>
            </w:r>
            <w:r w:rsidR="0049224B" w:rsidRPr="002F7079">
              <w:rPr>
                <w:rFonts w:cstheme="minorHAnsi"/>
                <w:sz w:val="18"/>
                <w:szCs w:val="18"/>
                <w:lang w:val="en-US"/>
              </w:rPr>
              <w:t>;</w:t>
            </w:r>
            <w:r w:rsidR="00713648" w:rsidRPr="002F7079">
              <w:rPr>
                <w:rFonts w:cs="Calibri"/>
                <w:sz w:val="18"/>
                <w:szCs w:val="18"/>
                <w:lang w:val="en-US"/>
              </w:rPr>
              <w:t xml:space="preserve"> Baier et al, 2019)</w:t>
            </w:r>
          </w:p>
        </w:tc>
      </w:tr>
      <w:tr w:rsidR="002F7079" w:rsidRPr="002F7079" w14:paraId="0BEEDCF9" w14:textId="77777777" w:rsidTr="00711372">
        <w:trPr>
          <w:cantSplit/>
          <w:trHeight w:val="252"/>
        </w:trPr>
        <w:tc>
          <w:tcPr>
            <w:tcW w:w="1617" w:type="dxa"/>
            <w:vMerge/>
            <w:shd w:val="clear" w:color="auto" w:fill="FFFFFF" w:themeFill="background1"/>
            <w:vAlign w:val="center"/>
          </w:tcPr>
          <w:p w14:paraId="0A665129" w14:textId="77777777" w:rsidR="0049224B" w:rsidRPr="002F7079" w:rsidRDefault="0049224B" w:rsidP="00711372">
            <w:pPr>
              <w:rPr>
                <w:rFonts w:cstheme="minorHAnsi"/>
                <w:sz w:val="18"/>
                <w:szCs w:val="18"/>
                <w:lang w:val="en-US"/>
              </w:rPr>
            </w:pPr>
          </w:p>
        </w:tc>
        <w:tc>
          <w:tcPr>
            <w:tcW w:w="5023" w:type="dxa"/>
            <w:gridSpan w:val="3"/>
            <w:shd w:val="clear" w:color="auto" w:fill="FFFFFF" w:themeFill="background1"/>
            <w:vAlign w:val="center"/>
          </w:tcPr>
          <w:p w14:paraId="12444C91" w14:textId="77777777" w:rsidR="0049224B" w:rsidRPr="002F7079" w:rsidRDefault="0049224B" w:rsidP="00711372">
            <w:pPr>
              <w:jc w:val="center"/>
              <w:rPr>
                <w:rFonts w:cstheme="minorHAnsi"/>
                <w:sz w:val="18"/>
                <w:szCs w:val="18"/>
              </w:rPr>
            </w:pPr>
            <w:r w:rsidRPr="002F7079">
              <w:rPr>
                <w:rFonts w:cstheme="minorHAnsi"/>
                <w:sz w:val="18"/>
                <w:szCs w:val="18"/>
              </w:rPr>
              <w:t>Doença Venosa Periférica</w:t>
            </w:r>
          </w:p>
        </w:tc>
        <w:tc>
          <w:tcPr>
            <w:tcW w:w="3260" w:type="dxa"/>
            <w:shd w:val="clear" w:color="auto" w:fill="FFFFFF" w:themeFill="background1"/>
            <w:vAlign w:val="center"/>
          </w:tcPr>
          <w:p w14:paraId="613A12C4" w14:textId="45BA023C" w:rsidR="0049224B" w:rsidRPr="002F7079" w:rsidRDefault="000D7B67" w:rsidP="00711372">
            <w:pPr>
              <w:jc w:val="center"/>
              <w:rPr>
                <w:rFonts w:cstheme="minorHAnsi"/>
                <w:sz w:val="18"/>
                <w:szCs w:val="18"/>
              </w:rPr>
            </w:pPr>
            <w:r w:rsidRPr="002F7079">
              <w:rPr>
                <w:rFonts w:cs="Calibri"/>
                <w:sz w:val="18"/>
                <w:szCs w:val="18"/>
                <w:lang w:val="en-US"/>
              </w:rPr>
              <w:t>(Marusic et al, 2021)</w:t>
            </w:r>
          </w:p>
        </w:tc>
      </w:tr>
      <w:tr w:rsidR="002F7079" w:rsidRPr="002F7079" w14:paraId="475FB9C3" w14:textId="77777777" w:rsidTr="00711372">
        <w:trPr>
          <w:cantSplit/>
          <w:trHeight w:val="20"/>
        </w:trPr>
        <w:tc>
          <w:tcPr>
            <w:tcW w:w="1617" w:type="dxa"/>
            <w:shd w:val="clear" w:color="auto" w:fill="FFFFFF" w:themeFill="background1"/>
            <w:vAlign w:val="center"/>
          </w:tcPr>
          <w:p w14:paraId="659FE1EB" w14:textId="77777777" w:rsidR="0049224B" w:rsidRPr="002F7079" w:rsidRDefault="0049224B" w:rsidP="00711372">
            <w:pPr>
              <w:rPr>
                <w:rFonts w:cstheme="minorHAnsi"/>
                <w:sz w:val="18"/>
                <w:szCs w:val="18"/>
              </w:rPr>
            </w:pPr>
            <w:r w:rsidRPr="002F7079">
              <w:rPr>
                <w:rFonts w:cstheme="minorHAnsi"/>
                <w:sz w:val="18"/>
                <w:szCs w:val="18"/>
              </w:rPr>
              <w:t>Infeções</w:t>
            </w:r>
          </w:p>
        </w:tc>
        <w:tc>
          <w:tcPr>
            <w:tcW w:w="1621" w:type="dxa"/>
            <w:shd w:val="clear" w:color="auto" w:fill="FFFFFF" w:themeFill="background1"/>
          </w:tcPr>
          <w:p w14:paraId="41AAEDAE"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556D08F9" w14:textId="77777777" w:rsidR="0049224B" w:rsidRPr="002F7079" w:rsidRDefault="0049224B" w:rsidP="00711372">
            <w:pPr>
              <w:jc w:val="center"/>
              <w:rPr>
                <w:rFonts w:cstheme="minorHAnsi"/>
                <w:sz w:val="18"/>
                <w:szCs w:val="18"/>
              </w:rPr>
            </w:pPr>
          </w:p>
        </w:tc>
        <w:tc>
          <w:tcPr>
            <w:tcW w:w="1701" w:type="dxa"/>
            <w:shd w:val="clear" w:color="auto" w:fill="FFFFFF" w:themeFill="background1"/>
          </w:tcPr>
          <w:p w14:paraId="52FE0D5A" w14:textId="77777777" w:rsidR="0049224B" w:rsidRPr="002F7079" w:rsidRDefault="0049224B" w:rsidP="00711372">
            <w:pPr>
              <w:jc w:val="center"/>
              <w:rPr>
                <w:rFonts w:cstheme="minorHAnsi"/>
                <w:sz w:val="18"/>
                <w:szCs w:val="18"/>
              </w:rPr>
            </w:pPr>
            <w:r w:rsidRPr="002F7079">
              <w:rPr>
                <w:rFonts w:cstheme="minorHAnsi"/>
                <w:sz w:val="18"/>
                <w:szCs w:val="18"/>
              </w:rPr>
              <w:t>Infeção Trato Urinário</w:t>
            </w:r>
          </w:p>
        </w:tc>
        <w:tc>
          <w:tcPr>
            <w:tcW w:w="3260" w:type="dxa"/>
            <w:shd w:val="clear" w:color="auto" w:fill="FFFFFF" w:themeFill="background1"/>
            <w:vAlign w:val="center"/>
          </w:tcPr>
          <w:p w14:paraId="775307D0" w14:textId="36577C57" w:rsidR="0049224B" w:rsidRPr="002F7079" w:rsidRDefault="000D7B67" w:rsidP="00711372">
            <w:pPr>
              <w:jc w:val="center"/>
              <w:rPr>
                <w:rFonts w:cstheme="minorHAnsi"/>
                <w:sz w:val="18"/>
                <w:szCs w:val="18"/>
              </w:rPr>
            </w:pPr>
            <w:r w:rsidRPr="002F7079">
              <w:rPr>
                <w:rFonts w:cs="Calibri"/>
                <w:sz w:val="18"/>
                <w:szCs w:val="18"/>
                <w:lang w:val="en-US"/>
              </w:rPr>
              <w:t>(Schmitt et al, 2020)</w:t>
            </w:r>
          </w:p>
        </w:tc>
      </w:tr>
      <w:tr w:rsidR="002F7079" w:rsidRPr="00AF0BBB" w14:paraId="0F0643F5" w14:textId="77777777" w:rsidTr="00711372">
        <w:trPr>
          <w:cantSplit/>
          <w:trHeight w:val="20"/>
        </w:trPr>
        <w:tc>
          <w:tcPr>
            <w:tcW w:w="1617" w:type="dxa"/>
            <w:vMerge w:val="restart"/>
            <w:shd w:val="clear" w:color="auto" w:fill="FFFFFF" w:themeFill="background1"/>
            <w:vAlign w:val="center"/>
          </w:tcPr>
          <w:p w14:paraId="3E6649C7" w14:textId="77777777" w:rsidR="0049224B" w:rsidRPr="002F7079" w:rsidRDefault="0049224B" w:rsidP="00711372">
            <w:pPr>
              <w:rPr>
                <w:rFonts w:cstheme="minorHAnsi"/>
                <w:i/>
                <w:iCs/>
                <w:sz w:val="18"/>
                <w:szCs w:val="18"/>
              </w:rPr>
            </w:pPr>
            <w:proofErr w:type="spellStart"/>
            <w:r w:rsidRPr="002F7079">
              <w:rPr>
                <w:rFonts w:cstheme="minorHAnsi"/>
                <w:i/>
                <w:iCs/>
                <w:sz w:val="18"/>
                <w:szCs w:val="18"/>
              </w:rPr>
              <w:t>Guidelines</w:t>
            </w:r>
            <w:proofErr w:type="spellEnd"/>
          </w:p>
        </w:tc>
        <w:tc>
          <w:tcPr>
            <w:tcW w:w="1621" w:type="dxa"/>
            <w:shd w:val="clear" w:color="auto" w:fill="FFFFFF" w:themeFill="background1"/>
            <w:vAlign w:val="center"/>
          </w:tcPr>
          <w:p w14:paraId="75292C42" w14:textId="77777777" w:rsidR="0049224B" w:rsidRPr="002F7079" w:rsidRDefault="0049224B" w:rsidP="00711372">
            <w:pPr>
              <w:jc w:val="center"/>
              <w:rPr>
                <w:rFonts w:cstheme="minorHAnsi"/>
                <w:sz w:val="18"/>
                <w:szCs w:val="18"/>
              </w:rPr>
            </w:pPr>
            <w:r w:rsidRPr="002F7079">
              <w:rPr>
                <w:rFonts w:cstheme="minorHAnsi"/>
                <w:sz w:val="18"/>
                <w:szCs w:val="18"/>
              </w:rPr>
              <w:t>Não cumprimento (Antibioterapia e Profilaxia da Tromboembolia Venosa)</w:t>
            </w:r>
          </w:p>
        </w:tc>
        <w:tc>
          <w:tcPr>
            <w:tcW w:w="3402" w:type="dxa"/>
            <w:gridSpan w:val="2"/>
            <w:shd w:val="clear" w:color="auto" w:fill="FFFFFF" w:themeFill="background1"/>
            <w:vAlign w:val="center"/>
          </w:tcPr>
          <w:p w14:paraId="4793DF6E" w14:textId="77777777" w:rsidR="0049224B" w:rsidRPr="002F7079" w:rsidRDefault="0049224B" w:rsidP="00711372">
            <w:pPr>
              <w:jc w:val="center"/>
              <w:rPr>
                <w:rFonts w:cstheme="minorHAnsi"/>
                <w:sz w:val="18"/>
                <w:szCs w:val="18"/>
              </w:rPr>
            </w:pPr>
            <w:r w:rsidRPr="002F7079">
              <w:rPr>
                <w:rFonts w:cstheme="minorHAnsi"/>
                <w:sz w:val="18"/>
                <w:szCs w:val="18"/>
              </w:rPr>
              <w:t>Não cumprimento (Antibioterapia)</w:t>
            </w:r>
          </w:p>
        </w:tc>
        <w:tc>
          <w:tcPr>
            <w:tcW w:w="3260" w:type="dxa"/>
            <w:shd w:val="clear" w:color="auto" w:fill="FFFFFF" w:themeFill="background1"/>
            <w:vAlign w:val="center"/>
          </w:tcPr>
          <w:p w14:paraId="0EEF57C1" w14:textId="118C9DB3" w:rsidR="0049224B" w:rsidRPr="002F7079" w:rsidRDefault="000D7B67" w:rsidP="00711372">
            <w:pPr>
              <w:jc w:val="center"/>
              <w:rPr>
                <w:rFonts w:cstheme="minorHAnsi"/>
                <w:sz w:val="18"/>
                <w:szCs w:val="18"/>
                <w:lang w:val="en-US"/>
              </w:rPr>
            </w:pPr>
            <w:r w:rsidRPr="002F7079">
              <w:rPr>
                <w:rFonts w:cs="Calibri"/>
                <w:sz w:val="18"/>
                <w:szCs w:val="18"/>
                <w:lang w:val="en-US"/>
              </w:rPr>
              <w:t>(Badge et al, 2021</w:t>
            </w:r>
            <w:r w:rsidR="0049224B" w:rsidRPr="002F7079">
              <w:rPr>
                <w:rFonts w:cstheme="minorHAnsi"/>
                <w:sz w:val="18"/>
                <w:szCs w:val="18"/>
                <w:lang w:val="en-US"/>
              </w:rPr>
              <w:t>;</w:t>
            </w:r>
            <w:r w:rsidRPr="002F7079">
              <w:rPr>
                <w:rFonts w:cs="Calibri"/>
                <w:sz w:val="18"/>
                <w:szCs w:val="18"/>
                <w:lang w:val="en-US"/>
              </w:rPr>
              <w:t xml:space="preserve"> </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173CA473" w14:textId="77777777" w:rsidTr="00711372">
        <w:trPr>
          <w:cantSplit/>
          <w:trHeight w:val="20"/>
        </w:trPr>
        <w:tc>
          <w:tcPr>
            <w:tcW w:w="1617" w:type="dxa"/>
            <w:vMerge/>
            <w:shd w:val="clear" w:color="auto" w:fill="FFFFFF" w:themeFill="background1"/>
            <w:vAlign w:val="center"/>
          </w:tcPr>
          <w:p w14:paraId="7E69D45C" w14:textId="77777777" w:rsidR="0049224B" w:rsidRPr="002F7079" w:rsidRDefault="0049224B" w:rsidP="00711372">
            <w:pPr>
              <w:rPr>
                <w:rFonts w:cstheme="minorHAnsi"/>
                <w:sz w:val="18"/>
                <w:szCs w:val="18"/>
                <w:lang w:val="en-US"/>
              </w:rPr>
            </w:pPr>
          </w:p>
        </w:tc>
        <w:tc>
          <w:tcPr>
            <w:tcW w:w="1621" w:type="dxa"/>
            <w:shd w:val="clear" w:color="auto" w:fill="FFFFFF" w:themeFill="background1"/>
            <w:vAlign w:val="center"/>
          </w:tcPr>
          <w:p w14:paraId="3D04BCC4" w14:textId="77777777" w:rsidR="0049224B" w:rsidRPr="002F7079" w:rsidRDefault="0049224B" w:rsidP="00711372">
            <w:pPr>
              <w:jc w:val="center"/>
              <w:rPr>
                <w:rFonts w:cstheme="minorHAnsi"/>
                <w:sz w:val="18"/>
                <w:szCs w:val="18"/>
              </w:rPr>
            </w:pPr>
            <w:r w:rsidRPr="002F7079">
              <w:rPr>
                <w:rFonts w:cstheme="minorHAnsi"/>
                <w:sz w:val="18"/>
                <w:szCs w:val="18"/>
              </w:rPr>
              <w:t>Tricotomia</w:t>
            </w:r>
          </w:p>
        </w:tc>
        <w:tc>
          <w:tcPr>
            <w:tcW w:w="1701" w:type="dxa"/>
            <w:shd w:val="clear" w:color="auto" w:fill="FFFFFF" w:themeFill="background1"/>
            <w:vAlign w:val="center"/>
          </w:tcPr>
          <w:p w14:paraId="79CA820B" w14:textId="77777777" w:rsidR="0049224B" w:rsidRPr="002F7079" w:rsidRDefault="0049224B" w:rsidP="00711372">
            <w:pPr>
              <w:jc w:val="center"/>
              <w:rPr>
                <w:rFonts w:cstheme="minorHAnsi"/>
                <w:sz w:val="18"/>
                <w:szCs w:val="18"/>
              </w:rPr>
            </w:pPr>
          </w:p>
        </w:tc>
        <w:tc>
          <w:tcPr>
            <w:tcW w:w="1701" w:type="dxa"/>
            <w:shd w:val="clear" w:color="auto" w:fill="FFFFFF" w:themeFill="background1"/>
            <w:vAlign w:val="center"/>
          </w:tcPr>
          <w:p w14:paraId="68EBCDD7"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39449609" w14:textId="47300622" w:rsidR="0049224B" w:rsidRPr="002F7079" w:rsidRDefault="00713648" w:rsidP="00711372">
            <w:pPr>
              <w:jc w:val="center"/>
              <w:rPr>
                <w:rFonts w:cstheme="minorHAnsi"/>
                <w:sz w:val="18"/>
                <w:szCs w:val="18"/>
              </w:rPr>
            </w:pPr>
            <w:r w:rsidRPr="002F7079">
              <w:rPr>
                <w:rFonts w:cs="Calibri"/>
                <w:sz w:val="18"/>
                <w:szCs w:val="18"/>
              </w:rPr>
              <w:t>(</w:t>
            </w:r>
            <w:proofErr w:type="spellStart"/>
            <w:r w:rsidRPr="002F7079">
              <w:rPr>
                <w:rFonts w:cs="Calibri"/>
                <w:sz w:val="18"/>
                <w:szCs w:val="18"/>
              </w:rPr>
              <w:t>Hijas-Gómez</w:t>
            </w:r>
            <w:proofErr w:type="spellEnd"/>
            <w:r w:rsidRPr="002F7079">
              <w:rPr>
                <w:rFonts w:cs="Calibri"/>
                <w:sz w:val="18"/>
                <w:szCs w:val="18"/>
              </w:rPr>
              <w:t xml:space="preserve"> </w:t>
            </w:r>
            <w:proofErr w:type="spellStart"/>
            <w:r w:rsidRPr="002F7079">
              <w:rPr>
                <w:rFonts w:cs="Calibri"/>
                <w:sz w:val="18"/>
                <w:szCs w:val="18"/>
              </w:rPr>
              <w:t>et</w:t>
            </w:r>
            <w:proofErr w:type="spellEnd"/>
            <w:r w:rsidRPr="002F7079">
              <w:rPr>
                <w:rFonts w:cs="Calibri"/>
                <w:sz w:val="18"/>
                <w:szCs w:val="18"/>
              </w:rPr>
              <w:t xml:space="preserve"> al, 2018)</w:t>
            </w:r>
          </w:p>
        </w:tc>
      </w:tr>
      <w:tr w:rsidR="002F7079" w:rsidRPr="002F7079" w14:paraId="538039F3" w14:textId="77777777" w:rsidTr="00711372">
        <w:trPr>
          <w:cantSplit/>
          <w:trHeight w:val="252"/>
        </w:trPr>
        <w:tc>
          <w:tcPr>
            <w:tcW w:w="1617" w:type="dxa"/>
            <w:vMerge w:val="restart"/>
            <w:shd w:val="clear" w:color="auto" w:fill="FFFFFF" w:themeFill="background1"/>
            <w:vAlign w:val="center"/>
          </w:tcPr>
          <w:p w14:paraId="0C7D86B4" w14:textId="77777777" w:rsidR="0049224B" w:rsidRPr="002F7079" w:rsidRDefault="0049224B" w:rsidP="00711372">
            <w:pPr>
              <w:rPr>
                <w:rFonts w:cstheme="minorHAnsi"/>
                <w:sz w:val="18"/>
                <w:szCs w:val="18"/>
              </w:rPr>
            </w:pPr>
            <w:r w:rsidRPr="002F7079">
              <w:rPr>
                <w:rFonts w:cstheme="minorHAnsi"/>
                <w:sz w:val="18"/>
                <w:szCs w:val="18"/>
              </w:rPr>
              <w:t>Medicação</w:t>
            </w:r>
          </w:p>
        </w:tc>
        <w:tc>
          <w:tcPr>
            <w:tcW w:w="1621" w:type="dxa"/>
            <w:shd w:val="clear" w:color="auto" w:fill="FFFFFF" w:themeFill="background1"/>
            <w:vAlign w:val="center"/>
          </w:tcPr>
          <w:p w14:paraId="46A56056" w14:textId="77777777" w:rsidR="0049224B" w:rsidRPr="002F7079" w:rsidRDefault="0049224B" w:rsidP="00711372">
            <w:pPr>
              <w:jc w:val="center"/>
              <w:rPr>
                <w:rFonts w:cstheme="minorHAnsi"/>
                <w:sz w:val="18"/>
                <w:szCs w:val="18"/>
              </w:rPr>
            </w:pPr>
            <w:r w:rsidRPr="002F7079">
              <w:rPr>
                <w:rFonts w:cstheme="minorHAnsi"/>
                <w:sz w:val="18"/>
                <w:szCs w:val="18"/>
              </w:rPr>
              <w:t>opióides &gt;6 meses</w:t>
            </w:r>
          </w:p>
        </w:tc>
        <w:tc>
          <w:tcPr>
            <w:tcW w:w="1701" w:type="dxa"/>
            <w:shd w:val="clear" w:color="auto" w:fill="FFFFFF" w:themeFill="background1"/>
            <w:vAlign w:val="center"/>
          </w:tcPr>
          <w:p w14:paraId="516D9EE1" w14:textId="77777777" w:rsidR="0049224B" w:rsidRPr="002F7079" w:rsidRDefault="0049224B" w:rsidP="00711372">
            <w:pPr>
              <w:jc w:val="center"/>
              <w:rPr>
                <w:rFonts w:cstheme="minorHAnsi"/>
                <w:sz w:val="18"/>
                <w:szCs w:val="18"/>
              </w:rPr>
            </w:pPr>
          </w:p>
        </w:tc>
        <w:tc>
          <w:tcPr>
            <w:tcW w:w="1701" w:type="dxa"/>
            <w:shd w:val="clear" w:color="auto" w:fill="FFFFFF" w:themeFill="background1"/>
            <w:vAlign w:val="center"/>
          </w:tcPr>
          <w:p w14:paraId="7574FD32"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242250BD" w14:textId="3A3497E7" w:rsidR="0049224B" w:rsidRPr="002F7079" w:rsidRDefault="00713648" w:rsidP="00711372">
            <w:pPr>
              <w:jc w:val="center"/>
              <w:rPr>
                <w:rFonts w:cstheme="minorHAnsi"/>
                <w:sz w:val="18"/>
                <w:szCs w:val="18"/>
              </w:rPr>
            </w:pPr>
            <w:r w:rsidRPr="002F7079">
              <w:rPr>
                <w:rFonts w:cs="Calibri"/>
                <w:sz w:val="18"/>
                <w:szCs w:val="18"/>
                <w:lang w:val="en-US"/>
              </w:rPr>
              <w:t>(Jain et al, 2019)</w:t>
            </w:r>
          </w:p>
        </w:tc>
      </w:tr>
      <w:tr w:rsidR="002F7079" w:rsidRPr="002F7079" w14:paraId="1D8BBBB3" w14:textId="77777777" w:rsidTr="00711372">
        <w:trPr>
          <w:cantSplit/>
          <w:trHeight w:val="222"/>
        </w:trPr>
        <w:tc>
          <w:tcPr>
            <w:tcW w:w="1617" w:type="dxa"/>
            <w:vMerge/>
            <w:shd w:val="clear" w:color="auto" w:fill="FFFFFF" w:themeFill="background1"/>
            <w:vAlign w:val="center"/>
          </w:tcPr>
          <w:p w14:paraId="793C1091" w14:textId="77777777" w:rsidR="0049224B" w:rsidRPr="002F7079" w:rsidRDefault="0049224B" w:rsidP="00711372">
            <w:pPr>
              <w:rPr>
                <w:rFonts w:cstheme="minorHAnsi"/>
                <w:sz w:val="18"/>
                <w:szCs w:val="18"/>
              </w:rPr>
            </w:pPr>
          </w:p>
        </w:tc>
        <w:tc>
          <w:tcPr>
            <w:tcW w:w="1621" w:type="dxa"/>
            <w:shd w:val="clear" w:color="auto" w:fill="FFFFFF" w:themeFill="background1"/>
            <w:vAlign w:val="center"/>
          </w:tcPr>
          <w:p w14:paraId="10547D18" w14:textId="77777777" w:rsidR="0049224B" w:rsidRPr="002F7079" w:rsidRDefault="0049224B" w:rsidP="00711372">
            <w:pPr>
              <w:jc w:val="center"/>
              <w:rPr>
                <w:rFonts w:cstheme="minorHAnsi"/>
                <w:sz w:val="18"/>
                <w:szCs w:val="18"/>
              </w:rPr>
            </w:pPr>
            <w:proofErr w:type="spellStart"/>
            <w:r w:rsidRPr="002F7079">
              <w:rPr>
                <w:rFonts w:cstheme="minorHAnsi"/>
                <w:sz w:val="18"/>
                <w:szCs w:val="18"/>
              </w:rPr>
              <w:t>Varfarina</w:t>
            </w:r>
            <w:proofErr w:type="spellEnd"/>
            <w:r w:rsidRPr="002F7079">
              <w:rPr>
                <w:rFonts w:cstheme="minorHAnsi"/>
                <w:sz w:val="18"/>
                <w:szCs w:val="18"/>
              </w:rPr>
              <w:t xml:space="preserve"> ou </w:t>
            </w:r>
            <w:proofErr w:type="spellStart"/>
            <w:r w:rsidRPr="002F7079">
              <w:rPr>
                <w:rFonts w:cstheme="minorHAnsi"/>
                <w:sz w:val="18"/>
                <w:szCs w:val="18"/>
              </w:rPr>
              <w:t>Rivaroxabano</w:t>
            </w:r>
            <w:proofErr w:type="spellEnd"/>
          </w:p>
        </w:tc>
        <w:tc>
          <w:tcPr>
            <w:tcW w:w="1701" w:type="dxa"/>
            <w:shd w:val="clear" w:color="auto" w:fill="FFFFFF" w:themeFill="background1"/>
            <w:vAlign w:val="center"/>
          </w:tcPr>
          <w:p w14:paraId="144FC349" w14:textId="77777777" w:rsidR="0049224B" w:rsidRPr="002F7079" w:rsidRDefault="0049224B" w:rsidP="00711372">
            <w:pPr>
              <w:jc w:val="center"/>
              <w:rPr>
                <w:rFonts w:cstheme="minorHAnsi"/>
                <w:sz w:val="18"/>
                <w:szCs w:val="18"/>
              </w:rPr>
            </w:pPr>
          </w:p>
        </w:tc>
        <w:tc>
          <w:tcPr>
            <w:tcW w:w="1701" w:type="dxa"/>
            <w:shd w:val="clear" w:color="auto" w:fill="FFFFFF" w:themeFill="background1"/>
            <w:vAlign w:val="center"/>
          </w:tcPr>
          <w:p w14:paraId="53037886"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47337E94" w14:textId="41A5ABF8" w:rsidR="0049224B" w:rsidRPr="002F7079" w:rsidRDefault="000D7B67" w:rsidP="00711372">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r w:rsidR="002F7079" w:rsidRPr="002F7079" w14:paraId="57E7760D" w14:textId="77777777" w:rsidTr="00711372">
        <w:trPr>
          <w:cantSplit/>
          <w:trHeight w:val="265"/>
        </w:trPr>
        <w:tc>
          <w:tcPr>
            <w:tcW w:w="1617" w:type="dxa"/>
            <w:vMerge w:val="restart"/>
            <w:shd w:val="clear" w:color="auto" w:fill="FFFFFF" w:themeFill="background1"/>
            <w:vAlign w:val="center"/>
          </w:tcPr>
          <w:p w14:paraId="14AC83E4" w14:textId="77777777" w:rsidR="0049224B" w:rsidRPr="002F7079" w:rsidRDefault="0049224B" w:rsidP="00711372">
            <w:pPr>
              <w:rPr>
                <w:rFonts w:cstheme="minorHAnsi"/>
                <w:sz w:val="18"/>
                <w:szCs w:val="18"/>
              </w:rPr>
            </w:pPr>
            <w:r w:rsidRPr="002F7079">
              <w:rPr>
                <w:rFonts w:cstheme="minorHAnsi"/>
                <w:sz w:val="18"/>
                <w:szCs w:val="18"/>
              </w:rPr>
              <w:t>Analíticos</w:t>
            </w:r>
          </w:p>
        </w:tc>
        <w:tc>
          <w:tcPr>
            <w:tcW w:w="5023" w:type="dxa"/>
            <w:gridSpan w:val="3"/>
            <w:shd w:val="clear" w:color="auto" w:fill="FFFFFF" w:themeFill="background1"/>
            <w:vAlign w:val="center"/>
          </w:tcPr>
          <w:p w14:paraId="394C8EB5" w14:textId="77777777" w:rsidR="0049224B" w:rsidRPr="002F7079" w:rsidRDefault="0049224B" w:rsidP="00711372">
            <w:pPr>
              <w:jc w:val="center"/>
              <w:rPr>
                <w:rFonts w:cstheme="minorHAnsi"/>
                <w:sz w:val="18"/>
                <w:szCs w:val="18"/>
              </w:rPr>
            </w:pPr>
            <w:r w:rsidRPr="002F7079">
              <w:rPr>
                <w:rFonts w:cstheme="minorHAnsi"/>
                <w:sz w:val="18"/>
                <w:szCs w:val="18"/>
              </w:rPr>
              <w:t>Anemia Ferropénica</w:t>
            </w:r>
          </w:p>
        </w:tc>
        <w:tc>
          <w:tcPr>
            <w:tcW w:w="3260" w:type="dxa"/>
            <w:shd w:val="clear" w:color="auto" w:fill="FFFFFF" w:themeFill="background1"/>
            <w:vAlign w:val="center"/>
          </w:tcPr>
          <w:p w14:paraId="490B772B" w14:textId="1AA0E669" w:rsidR="0049224B" w:rsidRPr="002F7079" w:rsidRDefault="000D7B67" w:rsidP="00711372">
            <w:pPr>
              <w:jc w:val="center"/>
              <w:rPr>
                <w:rFonts w:cstheme="minorHAnsi"/>
                <w:sz w:val="18"/>
                <w:szCs w:val="18"/>
              </w:rPr>
            </w:pPr>
            <w:r w:rsidRPr="002F7079">
              <w:rPr>
                <w:rFonts w:cs="Calibri"/>
                <w:sz w:val="18"/>
                <w:szCs w:val="18"/>
                <w:lang w:val="en-US"/>
              </w:rPr>
              <w:t>(Sodhi et al, 2020)</w:t>
            </w:r>
          </w:p>
        </w:tc>
      </w:tr>
      <w:tr w:rsidR="002F7079" w:rsidRPr="002F7079" w14:paraId="799A5138" w14:textId="77777777" w:rsidTr="00711372">
        <w:trPr>
          <w:cantSplit/>
          <w:trHeight w:val="255"/>
        </w:trPr>
        <w:tc>
          <w:tcPr>
            <w:tcW w:w="1617" w:type="dxa"/>
            <w:vMerge/>
            <w:shd w:val="clear" w:color="auto" w:fill="FFFFFF" w:themeFill="background1"/>
            <w:vAlign w:val="center"/>
          </w:tcPr>
          <w:p w14:paraId="65A8AADC" w14:textId="77777777" w:rsidR="0049224B" w:rsidRPr="002F7079" w:rsidRDefault="0049224B" w:rsidP="00711372">
            <w:pPr>
              <w:rPr>
                <w:rFonts w:cstheme="minorHAnsi"/>
                <w:sz w:val="18"/>
                <w:szCs w:val="18"/>
              </w:rPr>
            </w:pPr>
          </w:p>
        </w:tc>
        <w:tc>
          <w:tcPr>
            <w:tcW w:w="5023" w:type="dxa"/>
            <w:gridSpan w:val="3"/>
            <w:shd w:val="clear" w:color="auto" w:fill="FFFFFF" w:themeFill="background1"/>
            <w:vAlign w:val="center"/>
          </w:tcPr>
          <w:p w14:paraId="12AFA778" w14:textId="77777777" w:rsidR="0049224B" w:rsidRPr="002F7079" w:rsidRDefault="0049224B" w:rsidP="00711372">
            <w:pPr>
              <w:jc w:val="center"/>
              <w:rPr>
                <w:rFonts w:cstheme="minorHAnsi"/>
                <w:sz w:val="18"/>
                <w:szCs w:val="18"/>
              </w:rPr>
            </w:pPr>
            <w:r w:rsidRPr="002F7079">
              <w:rPr>
                <w:rFonts w:cstheme="minorHAnsi"/>
                <w:sz w:val="18"/>
                <w:szCs w:val="18"/>
              </w:rPr>
              <w:t>Desequilíbrio eletrolítico</w:t>
            </w:r>
          </w:p>
        </w:tc>
        <w:tc>
          <w:tcPr>
            <w:tcW w:w="3260" w:type="dxa"/>
            <w:shd w:val="clear" w:color="auto" w:fill="FFFFFF" w:themeFill="background1"/>
            <w:vAlign w:val="center"/>
          </w:tcPr>
          <w:p w14:paraId="77B86F7F" w14:textId="464406F5" w:rsidR="0049224B" w:rsidRPr="002F7079" w:rsidRDefault="000D7B67" w:rsidP="00711372">
            <w:pPr>
              <w:jc w:val="center"/>
              <w:rPr>
                <w:rFonts w:cstheme="minorHAnsi"/>
                <w:sz w:val="18"/>
                <w:szCs w:val="18"/>
              </w:rPr>
            </w:pPr>
            <w:r w:rsidRPr="002F7079">
              <w:rPr>
                <w:rFonts w:cs="Calibri"/>
                <w:sz w:val="18"/>
                <w:szCs w:val="18"/>
                <w:lang w:val="en-US"/>
              </w:rPr>
              <w:t>(Sodhi et al, 2020)</w:t>
            </w:r>
          </w:p>
        </w:tc>
      </w:tr>
      <w:tr w:rsidR="002F7079" w:rsidRPr="002F7079" w14:paraId="398ED9E9" w14:textId="77777777" w:rsidTr="00711372">
        <w:trPr>
          <w:cantSplit/>
          <w:trHeight w:val="429"/>
        </w:trPr>
        <w:tc>
          <w:tcPr>
            <w:tcW w:w="1617" w:type="dxa"/>
            <w:shd w:val="clear" w:color="auto" w:fill="FFFFFF" w:themeFill="background1"/>
            <w:vAlign w:val="center"/>
          </w:tcPr>
          <w:p w14:paraId="302ADBBD" w14:textId="77777777" w:rsidR="0049224B" w:rsidRPr="002F7079" w:rsidRDefault="0049224B" w:rsidP="00711372">
            <w:pPr>
              <w:rPr>
                <w:rFonts w:cstheme="minorHAnsi"/>
                <w:sz w:val="18"/>
                <w:szCs w:val="18"/>
              </w:rPr>
            </w:pPr>
            <w:r w:rsidRPr="002F7079">
              <w:rPr>
                <w:rFonts w:cstheme="minorHAnsi"/>
                <w:sz w:val="18"/>
                <w:szCs w:val="18"/>
              </w:rPr>
              <w:t>Encerramento da Ferida</w:t>
            </w:r>
          </w:p>
        </w:tc>
        <w:tc>
          <w:tcPr>
            <w:tcW w:w="1621" w:type="dxa"/>
            <w:shd w:val="clear" w:color="auto" w:fill="FFFFFF" w:themeFill="background1"/>
            <w:vAlign w:val="center"/>
          </w:tcPr>
          <w:p w14:paraId="773CA804" w14:textId="77777777" w:rsidR="0049224B" w:rsidRPr="002F7079" w:rsidRDefault="0049224B" w:rsidP="00711372">
            <w:pPr>
              <w:jc w:val="center"/>
              <w:rPr>
                <w:rFonts w:cstheme="minorHAnsi"/>
                <w:sz w:val="18"/>
                <w:szCs w:val="18"/>
              </w:rPr>
            </w:pPr>
          </w:p>
        </w:tc>
        <w:tc>
          <w:tcPr>
            <w:tcW w:w="1701" w:type="dxa"/>
            <w:shd w:val="clear" w:color="auto" w:fill="FFFFFF" w:themeFill="background1"/>
            <w:vAlign w:val="center"/>
          </w:tcPr>
          <w:p w14:paraId="6D0690CB" w14:textId="77777777" w:rsidR="0049224B" w:rsidRPr="002F7079" w:rsidRDefault="0049224B" w:rsidP="00711372">
            <w:pPr>
              <w:jc w:val="center"/>
              <w:rPr>
                <w:rFonts w:cstheme="minorHAnsi"/>
                <w:sz w:val="18"/>
                <w:szCs w:val="18"/>
              </w:rPr>
            </w:pPr>
            <w:r w:rsidRPr="002F7079">
              <w:rPr>
                <w:rFonts w:cstheme="minorHAnsi"/>
                <w:sz w:val="18"/>
                <w:szCs w:val="18"/>
              </w:rPr>
              <w:t>Cola cutânea de cianoacrilato</w:t>
            </w:r>
          </w:p>
        </w:tc>
        <w:tc>
          <w:tcPr>
            <w:tcW w:w="1701" w:type="dxa"/>
            <w:shd w:val="clear" w:color="auto" w:fill="FFFFFF" w:themeFill="background1"/>
            <w:vAlign w:val="center"/>
          </w:tcPr>
          <w:p w14:paraId="2FEDB8F4" w14:textId="77777777" w:rsidR="0049224B" w:rsidRPr="002F7079" w:rsidRDefault="0049224B" w:rsidP="00711372">
            <w:pPr>
              <w:jc w:val="center"/>
              <w:rPr>
                <w:rFonts w:cstheme="minorHAnsi"/>
                <w:sz w:val="18"/>
                <w:szCs w:val="18"/>
              </w:rPr>
            </w:pPr>
          </w:p>
        </w:tc>
        <w:tc>
          <w:tcPr>
            <w:tcW w:w="3260" w:type="dxa"/>
            <w:shd w:val="clear" w:color="auto" w:fill="FFFFFF" w:themeFill="background1"/>
            <w:vAlign w:val="center"/>
          </w:tcPr>
          <w:p w14:paraId="4DDD3032" w14:textId="7B405961" w:rsidR="0049224B" w:rsidRPr="002F7079" w:rsidRDefault="000D7B67" w:rsidP="00711372">
            <w:pPr>
              <w:jc w:val="center"/>
              <w:rPr>
                <w:rFonts w:cstheme="minorHAnsi"/>
                <w:sz w:val="18"/>
                <w:szCs w:val="18"/>
              </w:rPr>
            </w:pPr>
            <w:r w:rsidRPr="002F7079">
              <w:rPr>
                <w:rFonts w:cs="Calibri"/>
                <w:sz w:val="18"/>
                <w:szCs w:val="18"/>
                <w:lang w:val="en-US"/>
              </w:rPr>
              <w:t>(</w:t>
            </w:r>
            <w:proofErr w:type="spellStart"/>
            <w:r w:rsidRPr="002F7079">
              <w:rPr>
                <w:rFonts w:cs="Calibri"/>
                <w:sz w:val="18"/>
                <w:szCs w:val="18"/>
                <w:lang w:val="en-US"/>
              </w:rPr>
              <w:t>Almustafa</w:t>
            </w:r>
            <w:proofErr w:type="spellEnd"/>
            <w:r w:rsidRPr="002F7079">
              <w:rPr>
                <w:rFonts w:cs="Calibri"/>
                <w:sz w:val="18"/>
                <w:szCs w:val="18"/>
                <w:lang w:val="en-US"/>
              </w:rPr>
              <w:t xml:space="preserve"> et al, 2018)</w:t>
            </w:r>
          </w:p>
        </w:tc>
      </w:tr>
    </w:tbl>
    <w:p w14:paraId="650FF6A9" w14:textId="77777777" w:rsidR="00EA7573" w:rsidRPr="002F7079" w:rsidRDefault="00EA7573" w:rsidP="00382212">
      <w:pPr>
        <w:spacing w:after="0" w:line="360" w:lineRule="auto"/>
        <w:jc w:val="both"/>
        <w:rPr>
          <w:rFonts w:cstheme="minorHAnsi"/>
        </w:rPr>
      </w:pPr>
    </w:p>
    <w:p w14:paraId="3CA03296" w14:textId="77777777" w:rsidR="002F7079" w:rsidRDefault="002F7079" w:rsidP="00382212">
      <w:pPr>
        <w:spacing w:after="0" w:line="360" w:lineRule="auto"/>
        <w:jc w:val="both"/>
        <w:rPr>
          <w:rFonts w:cstheme="minorHAnsi"/>
        </w:rPr>
        <w:sectPr w:rsidR="002F7079" w:rsidSect="00650AF9">
          <w:type w:val="continuous"/>
          <w:pgSz w:w="11906" w:h="16838"/>
          <w:pgMar w:top="1135" w:right="1080" w:bottom="568" w:left="1080" w:header="709" w:footer="709" w:gutter="0"/>
          <w:cols w:space="708"/>
          <w:titlePg/>
          <w:docGrid w:linePitch="360"/>
        </w:sectPr>
      </w:pPr>
    </w:p>
    <w:p w14:paraId="3648C780" w14:textId="707BB770" w:rsidR="003707EA" w:rsidRPr="002F7079" w:rsidRDefault="003707EA" w:rsidP="002F7079">
      <w:pPr>
        <w:spacing w:after="120" w:line="360" w:lineRule="auto"/>
        <w:ind w:left="-170" w:right="-170"/>
        <w:jc w:val="both"/>
        <w:rPr>
          <w:rFonts w:cstheme="minorHAnsi"/>
          <w:b/>
          <w:bCs/>
        </w:rPr>
      </w:pPr>
      <w:r w:rsidRPr="002F7079">
        <w:rPr>
          <w:rFonts w:cstheme="minorHAnsi"/>
          <w:b/>
          <w:bCs/>
        </w:rPr>
        <w:t>DISCUSSÃO</w:t>
      </w:r>
    </w:p>
    <w:p w14:paraId="084FB79C" w14:textId="2335F6C6" w:rsidR="00CE43F4" w:rsidRPr="002F7079" w:rsidRDefault="003707EA" w:rsidP="002F7079">
      <w:pPr>
        <w:spacing w:after="0" w:line="360" w:lineRule="auto"/>
        <w:ind w:left="-170" w:right="-170"/>
        <w:jc w:val="both"/>
        <w:rPr>
          <w:rFonts w:cstheme="minorHAnsi"/>
        </w:rPr>
      </w:pPr>
      <w:r w:rsidRPr="002F7079">
        <w:rPr>
          <w:rFonts w:cstheme="minorHAnsi"/>
        </w:rPr>
        <w:t xml:space="preserve">A presente revisão tem como objetivo responder à questão “Quais os fatores de risco de </w:t>
      </w:r>
      <w:r w:rsidR="00C65FFE" w:rsidRPr="002F7079">
        <w:rPr>
          <w:rFonts w:cstheme="minorHAnsi"/>
        </w:rPr>
        <w:t>ILC</w:t>
      </w:r>
      <w:r w:rsidRPr="002F7079">
        <w:rPr>
          <w:rFonts w:cstheme="minorHAnsi"/>
        </w:rPr>
        <w:t xml:space="preserve"> após Artroplastia do Joelho?”. </w:t>
      </w:r>
      <w:r w:rsidR="00CE43F4" w:rsidRPr="002F7079">
        <w:rPr>
          <w:rFonts w:cstheme="minorHAnsi"/>
        </w:rPr>
        <w:t xml:space="preserve">A metodologia </w:t>
      </w:r>
      <w:r w:rsidR="00BE10FF" w:rsidRPr="002F7079">
        <w:rPr>
          <w:rFonts w:cstheme="minorHAnsi"/>
        </w:rPr>
        <w:t xml:space="preserve">mais </w:t>
      </w:r>
      <w:r w:rsidR="00CE43F4" w:rsidRPr="002F7079">
        <w:rPr>
          <w:rFonts w:cstheme="minorHAnsi"/>
        </w:rPr>
        <w:t xml:space="preserve">utilizada </w:t>
      </w:r>
      <w:r w:rsidR="00BE10FF" w:rsidRPr="002F7079">
        <w:rPr>
          <w:rFonts w:cstheme="minorHAnsi"/>
        </w:rPr>
        <w:t>nos</w:t>
      </w:r>
      <w:r w:rsidR="00CE43F4" w:rsidRPr="002F7079">
        <w:rPr>
          <w:rFonts w:cstheme="minorHAnsi"/>
        </w:rPr>
        <w:t xml:space="preserve"> 27 estudos incluídos foi retrospetiva.</w:t>
      </w:r>
    </w:p>
    <w:p w14:paraId="40473817" w14:textId="5B50C5B0" w:rsidR="003A4E11" w:rsidRPr="002F7079" w:rsidRDefault="003A4E11" w:rsidP="002F7079">
      <w:pPr>
        <w:spacing w:after="0" w:line="360" w:lineRule="auto"/>
        <w:ind w:left="-170" w:right="-170"/>
        <w:jc w:val="both"/>
        <w:rPr>
          <w:rFonts w:cstheme="minorHAnsi"/>
        </w:rPr>
      </w:pPr>
      <w:r w:rsidRPr="002F7079">
        <w:rPr>
          <w:rFonts w:cstheme="minorHAnsi"/>
        </w:rPr>
        <w:t xml:space="preserve">Com o aumento da esperança média de vida nos últimos anos, os cuidados de saúde à </w:t>
      </w:r>
      <w:r w:rsidR="00BE10FF" w:rsidRPr="002F7079">
        <w:rPr>
          <w:rFonts w:cstheme="minorHAnsi"/>
        </w:rPr>
        <w:t>população mais envelhecida</w:t>
      </w:r>
      <w:r w:rsidRPr="002F7079">
        <w:rPr>
          <w:rFonts w:cstheme="minorHAnsi"/>
        </w:rPr>
        <w:t xml:space="preserve">, </w:t>
      </w:r>
      <w:r w:rsidR="001355CC" w:rsidRPr="002F7079">
        <w:rPr>
          <w:rFonts w:cstheme="minorHAnsi"/>
        </w:rPr>
        <w:t>são</w:t>
      </w:r>
      <w:r w:rsidRPr="002F7079">
        <w:rPr>
          <w:rFonts w:cstheme="minorHAnsi"/>
        </w:rPr>
        <w:t xml:space="preserve"> considerad</w:t>
      </w:r>
      <w:r w:rsidR="001355CC" w:rsidRPr="002F7079">
        <w:rPr>
          <w:rFonts w:cstheme="minorHAnsi"/>
        </w:rPr>
        <w:t>os</w:t>
      </w:r>
      <w:r w:rsidRPr="002F7079">
        <w:rPr>
          <w:rFonts w:cstheme="minorHAnsi"/>
        </w:rPr>
        <w:t xml:space="preserve"> como</w:t>
      </w:r>
      <w:r w:rsidR="00BE10FF" w:rsidRPr="002F7079">
        <w:rPr>
          <w:rFonts w:cstheme="minorHAnsi"/>
        </w:rPr>
        <w:t xml:space="preserve"> um grande desafio no futuro próximo, </w:t>
      </w:r>
      <w:r w:rsidR="00C65FFE" w:rsidRPr="002F7079">
        <w:rPr>
          <w:rFonts w:cstheme="minorHAnsi"/>
        </w:rPr>
        <w:t>pois este</w:t>
      </w:r>
      <w:r w:rsidR="00BE10FF" w:rsidRPr="002F7079">
        <w:rPr>
          <w:rFonts w:cstheme="minorHAnsi"/>
        </w:rPr>
        <w:t xml:space="preserve"> grupo etário </w:t>
      </w:r>
      <w:r w:rsidR="00C65FFE" w:rsidRPr="002F7079">
        <w:rPr>
          <w:rFonts w:cstheme="minorHAnsi"/>
        </w:rPr>
        <w:t xml:space="preserve">é </w:t>
      </w:r>
      <w:r w:rsidR="00BE10FF" w:rsidRPr="002F7079">
        <w:rPr>
          <w:rFonts w:cstheme="minorHAnsi"/>
        </w:rPr>
        <w:t>mais vulnerável a eventos adversos, incluindo infeções.</w:t>
      </w:r>
    </w:p>
    <w:p w14:paraId="1EFE9493" w14:textId="4189E152" w:rsidR="003707EA" w:rsidRPr="002F7079" w:rsidRDefault="003707EA" w:rsidP="002F7079">
      <w:pPr>
        <w:spacing w:after="0" w:line="360" w:lineRule="auto"/>
        <w:ind w:left="-170" w:right="-170"/>
        <w:jc w:val="both"/>
        <w:rPr>
          <w:rFonts w:cstheme="minorHAnsi"/>
        </w:rPr>
      </w:pPr>
      <w:r w:rsidRPr="002F7079">
        <w:rPr>
          <w:rFonts w:cstheme="minorHAnsi"/>
        </w:rPr>
        <w:t xml:space="preserve">A Artroplastia do Joelho é reconhecida como um dos tipos de cirurgia mais realizados no mundo, e abrange maioritariamente a pessoa idosa, </w:t>
      </w:r>
      <w:r w:rsidR="00C65FFE" w:rsidRPr="002F7079">
        <w:rPr>
          <w:rFonts w:cstheme="minorHAnsi"/>
        </w:rPr>
        <w:t>prevendo</w:t>
      </w:r>
      <w:r w:rsidRPr="002F7079">
        <w:rPr>
          <w:rFonts w:cstheme="minorHAnsi"/>
        </w:rPr>
        <w:t xml:space="preserve">-se que a taxa das ILC aumente na mesma proporção, </w:t>
      </w:r>
      <w:r w:rsidR="00CE43F4" w:rsidRPr="002F7079">
        <w:rPr>
          <w:rFonts w:cstheme="minorHAnsi"/>
        </w:rPr>
        <w:t>tendo sido possível identificar</w:t>
      </w:r>
      <w:r w:rsidRPr="002F7079">
        <w:rPr>
          <w:rFonts w:cstheme="minorHAnsi"/>
        </w:rPr>
        <w:t xml:space="preserve"> os fatores de risco de ILC </w:t>
      </w:r>
      <w:r w:rsidRPr="002F7079">
        <w:rPr>
          <w:rFonts w:cstheme="minorHAnsi"/>
        </w:rPr>
        <w:t>(modificáveis e não modificáveis) no período pré, intra e pós-operatóri</w:t>
      </w:r>
      <w:r w:rsidR="00CE43F4" w:rsidRPr="002F7079">
        <w:rPr>
          <w:rFonts w:cstheme="minorHAnsi"/>
        </w:rPr>
        <w:t>o</w:t>
      </w:r>
      <w:r w:rsidRPr="002F7079">
        <w:rPr>
          <w:rFonts w:cstheme="minorHAnsi"/>
        </w:rPr>
        <w:t>.</w:t>
      </w:r>
    </w:p>
    <w:p w14:paraId="5C7EE30B" w14:textId="28CD6A9C" w:rsidR="00BB54F1" w:rsidRPr="002F7079" w:rsidRDefault="00C65FFE" w:rsidP="002F7079">
      <w:pPr>
        <w:spacing w:after="0" w:line="360" w:lineRule="auto"/>
        <w:ind w:left="-170" w:right="-170"/>
        <w:jc w:val="both"/>
        <w:rPr>
          <w:rFonts w:cstheme="minorHAnsi"/>
          <w:shd w:val="clear" w:color="auto" w:fill="FFFFFF"/>
        </w:rPr>
      </w:pPr>
      <w:r w:rsidRPr="002F7079">
        <w:rPr>
          <w:rFonts w:cstheme="minorHAnsi"/>
          <w:shd w:val="clear" w:color="auto" w:fill="FFFFFF"/>
        </w:rPr>
        <w:t>F</w:t>
      </w:r>
      <w:r w:rsidR="00BB54F1" w:rsidRPr="002F7079">
        <w:rPr>
          <w:rFonts w:cstheme="minorHAnsi"/>
          <w:shd w:val="clear" w:color="auto" w:fill="FFFFFF"/>
        </w:rPr>
        <w:t xml:space="preserve">oi identificada uma revisão sistemática e meta-análise de 2018, onde estavam incluídos estudos até 2017, revelando-se pertinente que esta </w:t>
      </w:r>
      <w:proofErr w:type="spellStart"/>
      <w:r w:rsidR="00BB54F1" w:rsidRPr="002F7079">
        <w:rPr>
          <w:rFonts w:cstheme="minorHAnsi"/>
          <w:i/>
          <w:shd w:val="clear" w:color="auto" w:fill="FFFFFF"/>
        </w:rPr>
        <w:t>ScR</w:t>
      </w:r>
      <w:proofErr w:type="spellEnd"/>
      <w:r w:rsidR="00BB54F1" w:rsidRPr="002F7079">
        <w:rPr>
          <w:rFonts w:cstheme="minorHAnsi"/>
          <w:shd w:val="clear" w:color="auto" w:fill="FFFFFF"/>
        </w:rPr>
        <w:t xml:space="preserve"> tivesse o seu ponto de partida nessa revisão, de forma a mapear a evidência científica mais recente. </w:t>
      </w:r>
    </w:p>
    <w:p w14:paraId="5C550751" w14:textId="558301D6" w:rsidR="0000353D" w:rsidRPr="002F7079" w:rsidRDefault="0000353D" w:rsidP="002F7079">
      <w:pPr>
        <w:spacing w:after="0" w:line="360" w:lineRule="auto"/>
        <w:ind w:left="-170" w:right="-170"/>
        <w:jc w:val="both"/>
        <w:rPr>
          <w:rFonts w:cstheme="minorHAnsi"/>
          <w:noProof/>
        </w:rPr>
      </w:pPr>
      <w:r w:rsidRPr="002F7079">
        <w:rPr>
          <w:rFonts w:cstheme="minorHAnsi"/>
          <w:noProof/>
        </w:rPr>
        <w:t xml:space="preserve">Resende et al. (2018), autores da revisão sistemática e meta-análise identificada, tinham </w:t>
      </w:r>
      <w:r w:rsidR="00764288" w:rsidRPr="002F7079">
        <w:rPr>
          <w:rFonts w:cstheme="minorHAnsi"/>
          <w:noProof/>
        </w:rPr>
        <w:t xml:space="preserve">como </w:t>
      </w:r>
      <w:r w:rsidRPr="002F7079">
        <w:rPr>
          <w:rFonts w:cstheme="minorHAnsi"/>
          <w:noProof/>
        </w:rPr>
        <w:t>objetivo identificar os principais fatores de risco de infeção na articulação periprotésica em doentes submetidos a artroplastia total da anca</w:t>
      </w:r>
      <w:r w:rsidR="008910D0" w:rsidRPr="002F7079">
        <w:rPr>
          <w:rFonts w:cstheme="minorHAnsi"/>
          <w:noProof/>
        </w:rPr>
        <w:t xml:space="preserve"> (ATA)</w:t>
      </w:r>
      <w:r w:rsidRPr="002F7079">
        <w:rPr>
          <w:rFonts w:cstheme="minorHAnsi"/>
          <w:noProof/>
        </w:rPr>
        <w:t xml:space="preserve"> e do joelho. Deste estudo resultou o mapeamento dos fatores de risco de ILC após artroplastia do joelho, como sendo: Género Masculino; Diabetes </w:t>
      </w:r>
      <w:r w:rsidRPr="002F7079">
        <w:rPr>
          <w:rFonts w:cstheme="minorHAnsi"/>
          <w:i/>
          <w:iCs/>
          <w:noProof/>
        </w:rPr>
        <w:t>Mellitus</w:t>
      </w:r>
      <w:r w:rsidRPr="002F7079">
        <w:rPr>
          <w:rFonts w:cstheme="minorHAnsi"/>
          <w:noProof/>
        </w:rPr>
        <w:t xml:space="preserve">; Doença Congestiva Cardíaca; Doença Pulmonar Crónica; Coagulopatia; Hipertensão Arterial; Artrite Reumatóide; Terapia de </w:t>
      </w:r>
      <w:r w:rsidRPr="002F7079">
        <w:rPr>
          <w:rFonts w:cstheme="minorHAnsi"/>
          <w:noProof/>
        </w:rPr>
        <w:lastRenderedPageBreak/>
        <w:t xml:space="preserve">Imunossupressão; Desnutrição, Hábitos Alcoolicos; Infeção do Trato Urinário, ASA ≥3 </w:t>
      </w:r>
    </w:p>
    <w:p w14:paraId="4506A63C" w14:textId="4BBAE901" w:rsidR="0000353D" w:rsidRPr="002F7079" w:rsidRDefault="0000353D" w:rsidP="002F7079">
      <w:pPr>
        <w:spacing w:after="0" w:line="360" w:lineRule="auto"/>
        <w:ind w:left="-170" w:right="-170"/>
        <w:jc w:val="both"/>
        <w:rPr>
          <w:rFonts w:cstheme="minorHAnsi"/>
          <w:noProof/>
        </w:rPr>
      </w:pPr>
      <w:r w:rsidRPr="002F7079">
        <w:rPr>
          <w:rFonts w:cstheme="minorHAnsi"/>
          <w:noProof/>
        </w:rPr>
        <w:t>É ainda referido os fatores de risco após ATJ e ATA simultaneamente, uma vez que a maioria dos riscos identificados são iguais para os dois tipos de intervenção cirúrgica, salientando apenas as diferenças. Considerou a Idade Avançada como um fator de proteção contra infeções</w:t>
      </w:r>
      <w:r w:rsidR="0020082B" w:rsidRPr="002F7079">
        <w:rPr>
          <w:rFonts w:cstheme="minorHAnsi"/>
          <w:noProof/>
        </w:rPr>
        <w:t xml:space="preserve">, </w:t>
      </w:r>
      <w:r w:rsidRPr="002F7079">
        <w:rPr>
          <w:rFonts w:cstheme="minorHAnsi"/>
          <w:noProof/>
        </w:rPr>
        <w:t>reconhecendo que a literatura mostra precisamente o contrário.</w:t>
      </w:r>
      <w:r w:rsidR="0020082B" w:rsidRPr="002F7079">
        <w:rPr>
          <w:rFonts w:cstheme="minorHAnsi"/>
          <w:noProof/>
        </w:rPr>
        <w:t xml:space="preserve"> No entanto</w:t>
      </w:r>
      <w:r w:rsidR="00F62196" w:rsidRPr="002F7079">
        <w:rPr>
          <w:rFonts w:cstheme="minorHAnsi"/>
          <w:noProof/>
        </w:rPr>
        <w:t>, o autor refere que</w:t>
      </w:r>
      <w:r w:rsidR="0020082B" w:rsidRPr="002F7079">
        <w:rPr>
          <w:rFonts w:cstheme="minorHAnsi"/>
          <w:noProof/>
        </w:rPr>
        <w:t xml:space="preserve"> foram incluídos </w:t>
      </w:r>
      <w:r w:rsidR="00F62196" w:rsidRPr="002F7079">
        <w:rPr>
          <w:rFonts w:cstheme="minorHAnsi"/>
          <w:noProof/>
        </w:rPr>
        <w:t xml:space="preserve">apenas </w:t>
      </w:r>
      <w:r w:rsidR="0020082B" w:rsidRPr="002F7079">
        <w:rPr>
          <w:rFonts w:cstheme="minorHAnsi"/>
          <w:noProof/>
        </w:rPr>
        <w:t xml:space="preserve">estudos </w:t>
      </w:r>
      <w:r w:rsidR="00F62196" w:rsidRPr="002F7079">
        <w:rPr>
          <w:rFonts w:cstheme="minorHAnsi"/>
          <w:noProof/>
        </w:rPr>
        <w:t xml:space="preserve">onde </w:t>
      </w:r>
      <w:r w:rsidR="005F2B90" w:rsidRPr="002F7079">
        <w:rPr>
          <w:rFonts w:cstheme="minorHAnsi"/>
          <w:noProof/>
        </w:rPr>
        <w:t>constava a média de idades.</w:t>
      </w:r>
    </w:p>
    <w:p w14:paraId="2B2436A5" w14:textId="29993946" w:rsidR="0000353D" w:rsidRPr="002F7079" w:rsidRDefault="00C65FFE" w:rsidP="002F7079">
      <w:pPr>
        <w:spacing w:after="0" w:line="360" w:lineRule="auto"/>
        <w:ind w:left="-170" w:right="-170"/>
        <w:jc w:val="both"/>
        <w:rPr>
          <w:rFonts w:cstheme="minorHAnsi"/>
        </w:rPr>
      </w:pPr>
      <w:r w:rsidRPr="002F7079">
        <w:rPr>
          <w:rFonts w:cstheme="minorHAnsi"/>
          <w:noProof/>
        </w:rPr>
        <w:t>N</w:t>
      </w:r>
      <w:r w:rsidR="0000353D" w:rsidRPr="002F7079">
        <w:rPr>
          <w:rFonts w:cstheme="minorHAnsi"/>
          <w:noProof/>
        </w:rPr>
        <w:t xml:space="preserve">a presente </w:t>
      </w:r>
      <w:r w:rsidR="0000353D" w:rsidRPr="002F7079">
        <w:rPr>
          <w:rFonts w:cstheme="minorHAnsi"/>
          <w:i/>
          <w:iCs/>
          <w:noProof/>
        </w:rPr>
        <w:t>ScR</w:t>
      </w:r>
      <w:r w:rsidR="0000353D" w:rsidRPr="002F7079">
        <w:rPr>
          <w:rFonts w:cstheme="minorHAnsi"/>
          <w:noProof/>
        </w:rPr>
        <w:t xml:space="preserve"> foram mapeados os fatores de risco a partir de 2018, tendo-se confirmado alguns idênticos, tais como: Género Masculino; Coagulopatia; Diabetes </w:t>
      </w:r>
      <w:r w:rsidR="0000353D" w:rsidRPr="002F7079">
        <w:rPr>
          <w:rFonts w:cstheme="minorHAnsi"/>
          <w:i/>
          <w:iCs/>
          <w:noProof/>
        </w:rPr>
        <w:t>Mellitus</w:t>
      </w:r>
      <w:r w:rsidR="0000353D" w:rsidRPr="002F7079">
        <w:rPr>
          <w:rFonts w:cstheme="minorHAnsi"/>
          <w:noProof/>
        </w:rPr>
        <w:t>; Obesidade; Hipertensão Arterial, Terapia Imunossupressiva; Corticosteróides; Artrite Reumatóide; Infeção do Trato Urinário Pós-Operatório, Insuficiência Cardíaca Congestiva, outros foram considerados em conflito, como a Osteoartrite, Tranfusão de Sangue</w:t>
      </w:r>
      <w:r w:rsidR="00681B57" w:rsidRPr="002F7079">
        <w:rPr>
          <w:rFonts w:cstheme="minorHAnsi"/>
          <w:noProof/>
        </w:rPr>
        <w:t xml:space="preserve"> e</w:t>
      </w:r>
      <w:r w:rsidR="0000353D" w:rsidRPr="002F7079">
        <w:rPr>
          <w:rFonts w:cstheme="minorHAnsi"/>
          <w:noProof/>
        </w:rPr>
        <w:t xml:space="preserve"> ASA ≥3. </w:t>
      </w:r>
      <w:r w:rsidR="007C2421" w:rsidRPr="002F7079">
        <w:rPr>
          <w:rFonts w:cstheme="minorHAnsi"/>
          <w:noProof/>
        </w:rPr>
        <w:t>F</w:t>
      </w:r>
      <w:r w:rsidR="0000353D" w:rsidRPr="002F7079">
        <w:rPr>
          <w:rFonts w:cstheme="minorHAnsi"/>
          <w:noProof/>
        </w:rPr>
        <w:t xml:space="preserve">oram também identificados novos fatores de risco de ILC após </w:t>
      </w:r>
      <w:r w:rsidR="007C2421" w:rsidRPr="002F7079">
        <w:rPr>
          <w:rFonts w:cstheme="minorHAnsi"/>
          <w:noProof/>
        </w:rPr>
        <w:t>ATJ</w:t>
      </w:r>
      <w:r w:rsidR="0000353D" w:rsidRPr="002F7079">
        <w:rPr>
          <w:rFonts w:cstheme="minorHAnsi"/>
          <w:noProof/>
        </w:rPr>
        <w:t xml:space="preserve"> que deverão ser considerados nas intervenções de enfermagem à </w:t>
      </w:r>
      <w:r w:rsidR="002D2764" w:rsidRPr="002F7079">
        <w:rPr>
          <w:rFonts w:cstheme="minorHAnsi"/>
          <w:noProof/>
        </w:rPr>
        <w:t>pessoa em situação perioperatória</w:t>
      </w:r>
      <w:r w:rsidR="0000353D" w:rsidRPr="002F7079">
        <w:rPr>
          <w:rFonts w:cstheme="minorHAnsi"/>
          <w:noProof/>
        </w:rPr>
        <w:t xml:space="preserve">, como a Sensibilização Central Aumentada, Países com Desenvolvimento Socioeconómico mais Baixo, Neutrofilia Sérica, Insuficiência Renal em Diálise, Doença Venosa Periférica Pós-Operatória, Depressão, Sazonalidade (Verão), Doença de </w:t>
      </w:r>
      <w:proofErr w:type="spellStart"/>
      <w:r w:rsidR="0000353D" w:rsidRPr="002F7079">
        <w:rPr>
          <w:rFonts w:cstheme="minorHAnsi"/>
          <w:i/>
          <w:iCs/>
        </w:rPr>
        <w:t>Ahlbäck</w:t>
      </w:r>
      <w:proofErr w:type="spellEnd"/>
      <w:r w:rsidR="0000353D" w:rsidRPr="002F7079">
        <w:rPr>
          <w:rFonts w:cstheme="minorHAnsi"/>
        </w:rPr>
        <w:t>,</w:t>
      </w:r>
      <w:r w:rsidR="0000353D" w:rsidRPr="002F7079">
        <w:rPr>
          <w:rFonts w:cstheme="minorHAnsi"/>
          <w:noProof/>
        </w:rPr>
        <w:t xml:space="preserve"> Gordura Pré-Patelar Elevada, Duração da Cirugia Alargada, Procedimento Bilateral e de Revisão, Desnutrição, Valores Analíticos de Albumina e VCM baixos, baixa Qualidade da Ventilação, Não Cumprimento de </w:t>
      </w:r>
      <w:r w:rsidR="0000353D" w:rsidRPr="002F7079">
        <w:rPr>
          <w:rFonts w:cstheme="minorHAnsi"/>
          <w:i/>
          <w:iCs/>
          <w:noProof/>
        </w:rPr>
        <w:t>Guidelines</w:t>
      </w:r>
      <w:r w:rsidR="00CC130B" w:rsidRPr="002F7079">
        <w:rPr>
          <w:rFonts w:cstheme="minorHAnsi"/>
          <w:i/>
          <w:iCs/>
          <w:noProof/>
        </w:rPr>
        <w:t xml:space="preserve"> </w:t>
      </w:r>
      <w:r w:rsidR="00CC130B" w:rsidRPr="002F7079">
        <w:rPr>
          <w:rFonts w:cstheme="minorHAnsi"/>
          <w:noProof/>
        </w:rPr>
        <w:t>(Antibioterapia perioperatória, profilaxia da Tromboembolia Venosa e</w:t>
      </w:r>
      <w:r w:rsidR="0000353D" w:rsidRPr="002F7079">
        <w:rPr>
          <w:rFonts w:cstheme="minorHAnsi"/>
          <w:noProof/>
        </w:rPr>
        <w:t xml:space="preserve"> </w:t>
      </w:r>
      <w:r w:rsidR="00CC130B" w:rsidRPr="002F7079">
        <w:rPr>
          <w:rFonts w:cstheme="minorHAnsi"/>
          <w:noProof/>
        </w:rPr>
        <w:t>T</w:t>
      </w:r>
      <w:r w:rsidR="0000353D" w:rsidRPr="002F7079">
        <w:rPr>
          <w:rFonts w:cstheme="minorHAnsi"/>
          <w:noProof/>
        </w:rPr>
        <w:t>ricotomia pré-operatória</w:t>
      </w:r>
      <w:r w:rsidR="00CC130B" w:rsidRPr="002F7079">
        <w:rPr>
          <w:rFonts w:cstheme="minorHAnsi"/>
          <w:noProof/>
        </w:rPr>
        <w:t>)</w:t>
      </w:r>
      <w:r w:rsidR="0000353D" w:rsidRPr="002F7079">
        <w:rPr>
          <w:rFonts w:cstheme="minorHAnsi"/>
          <w:noProof/>
        </w:rPr>
        <w:t xml:space="preserve">, Uso de Opióides Pré-Operatório Superior a 6 meses, </w:t>
      </w:r>
      <w:r w:rsidR="00CC130B" w:rsidRPr="002F7079">
        <w:rPr>
          <w:rFonts w:cstheme="minorHAnsi"/>
          <w:noProof/>
        </w:rPr>
        <w:t xml:space="preserve">Displasia </w:t>
      </w:r>
      <w:r w:rsidR="00847AC0" w:rsidRPr="002F7079">
        <w:rPr>
          <w:rFonts w:cstheme="minorHAnsi"/>
          <w:noProof/>
        </w:rPr>
        <w:t>M</w:t>
      </w:r>
      <w:r w:rsidR="00CC130B" w:rsidRPr="002F7079">
        <w:rPr>
          <w:rFonts w:cstheme="minorHAnsi"/>
          <w:noProof/>
        </w:rPr>
        <w:t>usculo-</w:t>
      </w:r>
      <w:r w:rsidR="00847AC0" w:rsidRPr="002F7079">
        <w:rPr>
          <w:rFonts w:cstheme="minorHAnsi"/>
          <w:noProof/>
        </w:rPr>
        <w:t>E</w:t>
      </w:r>
      <w:r w:rsidR="00CC130B" w:rsidRPr="002F7079">
        <w:rPr>
          <w:rFonts w:cstheme="minorHAnsi"/>
          <w:noProof/>
        </w:rPr>
        <w:t xml:space="preserve">squelética, </w:t>
      </w:r>
      <w:r w:rsidR="00847AC0" w:rsidRPr="002F7079">
        <w:rPr>
          <w:rFonts w:cstheme="minorHAnsi"/>
          <w:noProof/>
        </w:rPr>
        <w:t>D</w:t>
      </w:r>
      <w:r w:rsidR="00CC130B" w:rsidRPr="002F7079">
        <w:rPr>
          <w:rFonts w:cstheme="minorHAnsi"/>
          <w:noProof/>
        </w:rPr>
        <w:t xml:space="preserve">oença </w:t>
      </w:r>
      <w:r w:rsidR="00847AC0" w:rsidRPr="002F7079">
        <w:rPr>
          <w:rFonts w:cstheme="minorHAnsi"/>
          <w:noProof/>
        </w:rPr>
        <w:t>H</w:t>
      </w:r>
      <w:r w:rsidR="00CC130B" w:rsidRPr="002F7079">
        <w:rPr>
          <w:rFonts w:cstheme="minorHAnsi"/>
          <w:noProof/>
        </w:rPr>
        <w:t xml:space="preserve">epática, </w:t>
      </w:r>
      <w:r w:rsidR="00847AC0" w:rsidRPr="002F7079">
        <w:rPr>
          <w:rFonts w:cstheme="minorHAnsi"/>
          <w:noProof/>
        </w:rPr>
        <w:t>I</w:t>
      </w:r>
      <w:r w:rsidR="00CC130B" w:rsidRPr="002F7079">
        <w:rPr>
          <w:rFonts w:cstheme="minorHAnsi"/>
          <w:noProof/>
        </w:rPr>
        <w:t xml:space="preserve">nternamento </w:t>
      </w:r>
      <w:r w:rsidR="00847AC0" w:rsidRPr="002F7079">
        <w:rPr>
          <w:rFonts w:cstheme="minorHAnsi"/>
          <w:noProof/>
        </w:rPr>
        <w:t>S</w:t>
      </w:r>
      <w:r w:rsidR="00CC130B" w:rsidRPr="002F7079">
        <w:rPr>
          <w:rFonts w:cstheme="minorHAnsi"/>
          <w:noProof/>
        </w:rPr>
        <w:t xml:space="preserve">uperior a 35 dias, </w:t>
      </w:r>
      <w:r w:rsidR="00847AC0" w:rsidRPr="002F7079">
        <w:rPr>
          <w:rFonts w:cstheme="minorHAnsi"/>
          <w:noProof/>
        </w:rPr>
        <w:t>A</w:t>
      </w:r>
      <w:r w:rsidR="00CC130B" w:rsidRPr="002F7079">
        <w:rPr>
          <w:rFonts w:cstheme="minorHAnsi"/>
          <w:noProof/>
        </w:rPr>
        <w:t xml:space="preserve">rmazenamento prolongado de sangue antes da perfusão, IMC elevado, </w:t>
      </w:r>
      <w:r w:rsidR="00847AC0" w:rsidRPr="002F7079">
        <w:rPr>
          <w:rFonts w:cstheme="minorHAnsi"/>
          <w:noProof/>
        </w:rPr>
        <w:t>Ú</w:t>
      </w:r>
      <w:r w:rsidR="00CC130B" w:rsidRPr="002F7079">
        <w:rPr>
          <w:rFonts w:cstheme="minorHAnsi"/>
          <w:noProof/>
        </w:rPr>
        <w:t xml:space="preserve">lcera do </w:t>
      </w:r>
      <w:r w:rsidR="00847AC0" w:rsidRPr="002F7079">
        <w:rPr>
          <w:rFonts w:cstheme="minorHAnsi"/>
          <w:noProof/>
        </w:rPr>
        <w:t>P</w:t>
      </w:r>
      <w:r w:rsidR="00CC130B" w:rsidRPr="002F7079">
        <w:rPr>
          <w:rFonts w:cstheme="minorHAnsi"/>
          <w:noProof/>
        </w:rPr>
        <w:t xml:space="preserve">é </w:t>
      </w:r>
      <w:r w:rsidR="00847AC0" w:rsidRPr="002F7079">
        <w:rPr>
          <w:rFonts w:cstheme="minorHAnsi"/>
          <w:noProof/>
        </w:rPr>
        <w:t>D</w:t>
      </w:r>
      <w:r w:rsidR="00CC130B" w:rsidRPr="002F7079">
        <w:rPr>
          <w:rFonts w:cstheme="minorHAnsi"/>
          <w:noProof/>
        </w:rPr>
        <w:t xml:space="preserve">iabético pré-operatório, </w:t>
      </w:r>
      <w:r w:rsidR="00847AC0" w:rsidRPr="002F7079">
        <w:rPr>
          <w:rFonts w:cstheme="minorHAnsi"/>
          <w:noProof/>
        </w:rPr>
        <w:t>D</w:t>
      </w:r>
      <w:r w:rsidR="00CC130B" w:rsidRPr="002F7079">
        <w:rPr>
          <w:rFonts w:cstheme="minorHAnsi"/>
          <w:noProof/>
        </w:rPr>
        <w:t xml:space="preserve">istúrbios de </w:t>
      </w:r>
      <w:r w:rsidR="00847AC0" w:rsidRPr="002F7079">
        <w:rPr>
          <w:rFonts w:cstheme="minorHAnsi"/>
          <w:noProof/>
        </w:rPr>
        <w:t>C</w:t>
      </w:r>
      <w:r w:rsidR="00CC130B" w:rsidRPr="002F7079">
        <w:rPr>
          <w:rFonts w:cstheme="minorHAnsi"/>
          <w:noProof/>
        </w:rPr>
        <w:t xml:space="preserve">icatrização, </w:t>
      </w:r>
      <w:r w:rsidR="00847AC0" w:rsidRPr="002F7079">
        <w:rPr>
          <w:rFonts w:cstheme="minorHAnsi"/>
          <w:noProof/>
        </w:rPr>
        <w:t>U</w:t>
      </w:r>
      <w:r w:rsidR="00CC130B" w:rsidRPr="002F7079">
        <w:rPr>
          <w:rFonts w:cstheme="minorHAnsi"/>
          <w:noProof/>
        </w:rPr>
        <w:t xml:space="preserve">so de Varfarina ou Rivaroxabano pré-operatório, </w:t>
      </w:r>
      <w:r w:rsidR="00847AC0" w:rsidRPr="002F7079">
        <w:rPr>
          <w:rFonts w:cstheme="minorHAnsi"/>
          <w:noProof/>
        </w:rPr>
        <w:t>A</w:t>
      </w:r>
      <w:r w:rsidR="00CC130B" w:rsidRPr="002F7079">
        <w:rPr>
          <w:rFonts w:cstheme="minorHAnsi"/>
          <w:noProof/>
        </w:rPr>
        <w:t xml:space="preserve">nemia </w:t>
      </w:r>
      <w:r w:rsidR="00847AC0" w:rsidRPr="002F7079">
        <w:rPr>
          <w:rFonts w:cstheme="minorHAnsi"/>
          <w:noProof/>
        </w:rPr>
        <w:t>F</w:t>
      </w:r>
      <w:r w:rsidR="00CC130B" w:rsidRPr="002F7079">
        <w:rPr>
          <w:rFonts w:cstheme="minorHAnsi"/>
          <w:noProof/>
        </w:rPr>
        <w:t xml:space="preserve">erropénica e </w:t>
      </w:r>
      <w:r w:rsidR="00847AC0" w:rsidRPr="002F7079">
        <w:rPr>
          <w:rFonts w:cstheme="minorHAnsi"/>
          <w:noProof/>
        </w:rPr>
        <w:t>D</w:t>
      </w:r>
      <w:r w:rsidR="00CC130B" w:rsidRPr="002F7079">
        <w:rPr>
          <w:rFonts w:cstheme="minorHAnsi"/>
          <w:noProof/>
        </w:rPr>
        <w:t xml:space="preserve">esiquilíbrio </w:t>
      </w:r>
      <w:r w:rsidR="00847AC0" w:rsidRPr="002F7079">
        <w:rPr>
          <w:rFonts w:cstheme="minorHAnsi"/>
          <w:noProof/>
        </w:rPr>
        <w:t>E</w:t>
      </w:r>
      <w:r w:rsidR="00CC130B" w:rsidRPr="002F7079">
        <w:rPr>
          <w:rFonts w:cstheme="minorHAnsi"/>
          <w:noProof/>
        </w:rPr>
        <w:t xml:space="preserve">letrolítico perioperatório e </w:t>
      </w:r>
      <w:r w:rsidR="00847AC0" w:rsidRPr="002F7079">
        <w:rPr>
          <w:rFonts w:cstheme="minorHAnsi"/>
          <w:noProof/>
        </w:rPr>
        <w:t>U</w:t>
      </w:r>
      <w:r w:rsidR="00CC130B" w:rsidRPr="002F7079">
        <w:rPr>
          <w:rFonts w:cstheme="minorHAnsi"/>
          <w:noProof/>
        </w:rPr>
        <w:t xml:space="preserve">so de </w:t>
      </w:r>
      <w:r w:rsidR="00847AC0" w:rsidRPr="002F7079">
        <w:rPr>
          <w:rFonts w:cstheme="minorHAnsi"/>
          <w:noProof/>
        </w:rPr>
        <w:t>C</w:t>
      </w:r>
      <w:r w:rsidR="00CC130B" w:rsidRPr="002F7079">
        <w:rPr>
          <w:rFonts w:cstheme="minorHAnsi"/>
          <w:noProof/>
        </w:rPr>
        <w:t xml:space="preserve">ola </w:t>
      </w:r>
      <w:r w:rsidR="00847AC0" w:rsidRPr="002F7079">
        <w:rPr>
          <w:rFonts w:cstheme="minorHAnsi"/>
          <w:noProof/>
        </w:rPr>
        <w:t>C</w:t>
      </w:r>
      <w:r w:rsidR="00CC130B" w:rsidRPr="002F7079">
        <w:rPr>
          <w:rFonts w:cstheme="minorHAnsi"/>
          <w:noProof/>
        </w:rPr>
        <w:t xml:space="preserve">utânea de </w:t>
      </w:r>
      <w:r w:rsidR="00847AC0" w:rsidRPr="002F7079">
        <w:rPr>
          <w:rFonts w:cstheme="minorHAnsi"/>
          <w:noProof/>
        </w:rPr>
        <w:t>C</w:t>
      </w:r>
      <w:r w:rsidR="00CC130B" w:rsidRPr="002F7079">
        <w:rPr>
          <w:rFonts w:cstheme="minorHAnsi"/>
          <w:noProof/>
        </w:rPr>
        <w:t>ianoacrilato no encerramento da ferida operatória.</w:t>
      </w:r>
    </w:p>
    <w:p w14:paraId="75E061E1" w14:textId="5A08B06B" w:rsidR="00BB54F1" w:rsidRPr="002F7079" w:rsidRDefault="00C65FFE" w:rsidP="002F7079">
      <w:pPr>
        <w:spacing w:after="0" w:line="360" w:lineRule="auto"/>
        <w:ind w:left="-170" w:right="-170"/>
        <w:jc w:val="both"/>
        <w:rPr>
          <w:rFonts w:cstheme="minorHAnsi"/>
        </w:rPr>
      </w:pPr>
      <w:r w:rsidRPr="002F7079">
        <w:rPr>
          <w:rFonts w:cstheme="minorHAnsi"/>
        </w:rPr>
        <w:t>Nos</w:t>
      </w:r>
      <w:r w:rsidR="00BB54F1" w:rsidRPr="002F7079">
        <w:rPr>
          <w:rFonts w:cstheme="minorHAnsi"/>
        </w:rPr>
        <w:t xml:space="preserve"> fatores de risco de ILC não modificáveis </w:t>
      </w:r>
      <w:r w:rsidR="00DE330C" w:rsidRPr="002F7079">
        <w:rPr>
          <w:rFonts w:cstheme="minorHAnsi"/>
        </w:rPr>
        <w:t xml:space="preserve">(Tabela </w:t>
      </w:r>
      <w:r w:rsidR="00903AE3" w:rsidRPr="002F7079">
        <w:rPr>
          <w:rFonts w:cstheme="minorHAnsi"/>
        </w:rPr>
        <w:t>2</w:t>
      </w:r>
      <w:r w:rsidR="00DE330C" w:rsidRPr="002F7079">
        <w:rPr>
          <w:rFonts w:cstheme="minorHAnsi"/>
        </w:rPr>
        <w:t xml:space="preserve">) </w:t>
      </w:r>
      <w:r w:rsidR="00BB54F1" w:rsidRPr="002F7079">
        <w:rPr>
          <w:rFonts w:cstheme="minorHAnsi"/>
        </w:rPr>
        <w:t>verificou-se que o género masculino é apontado em vários estudos</w:t>
      </w:r>
      <w:r w:rsidR="00DE330C" w:rsidRPr="002F7079">
        <w:rPr>
          <w:rFonts w:cstheme="minorHAnsi"/>
        </w:rPr>
        <w:t xml:space="preserve">, </w:t>
      </w:r>
      <w:r w:rsidR="00BB54F1" w:rsidRPr="002F7079">
        <w:rPr>
          <w:rFonts w:cstheme="minorHAnsi"/>
        </w:rPr>
        <w:t xml:space="preserve">uma vez que está associado à ocorrência de sinistros rodoviários e a trabalhos pesados de forma mais frequente, com desgaste articular e consequente necessidade de intervenção cirúrgica </w:t>
      </w:r>
      <w:r w:rsidR="00BB54F1" w:rsidRPr="002F7079">
        <w:rPr>
          <w:rFonts w:cstheme="minorHAnsi"/>
          <w:noProof/>
        </w:rPr>
        <w:t>(Silva et al., 2021)</w:t>
      </w:r>
      <w:r w:rsidR="00BB54F1" w:rsidRPr="002F7079">
        <w:rPr>
          <w:rFonts w:cstheme="minorHAnsi"/>
        </w:rPr>
        <w:t xml:space="preserve">. </w:t>
      </w:r>
    </w:p>
    <w:p w14:paraId="7E1B05AC" w14:textId="555BCF31" w:rsidR="00BB54F1" w:rsidRPr="002F7079" w:rsidRDefault="00BB54F1" w:rsidP="002F7079">
      <w:pPr>
        <w:spacing w:after="0" w:line="360" w:lineRule="auto"/>
        <w:ind w:left="-170" w:right="-170"/>
        <w:jc w:val="both"/>
        <w:rPr>
          <w:rFonts w:cstheme="minorHAnsi"/>
        </w:rPr>
      </w:pPr>
      <w:r w:rsidRPr="002F7079">
        <w:rPr>
          <w:rFonts w:cstheme="minorHAnsi"/>
        </w:rPr>
        <w:t xml:space="preserve">A idade avançada, superior ou igual a 80 anos, é </w:t>
      </w:r>
      <w:r w:rsidR="00DE330C" w:rsidRPr="002F7079">
        <w:rPr>
          <w:rFonts w:cstheme="minorHAnsi"/>
        </w:rPr>
        <w:t xml:space="preserve">igualmente </w:t>
      </w:r>
      <w:r w:rsidRPr="002F7079">
        <w:rPr>
          <w:rFonts w:cstheme="minorHAnsi"/>
        </w:rPr>
        <w:t xml:space="preserve">identificada como fator de risco, </w:t>
      </w:r>
      <w:r w:rsidR="007C2421" w:rsidRPr="002F7079">
        <w:rPr>
          <w:rFonts w:cstheme="minorHAnsi"/>
        </w:rPr>
        <w:t>devido</w:t>
      </w:r>
      <w:r w:rsidRPr="002F7079">
        <w:rPr>
          <w:rFonts w:cstheme="minorHAnsi"/>
        </w:rPr>
        <w:t xml:space="preserve"> à </w:t>
      </w:r>
      <w:r w:rsidR="007C2421" w:rsidRPr="002F7079">
        <w:rPr>
          <w:rFonts w:cstheme="minorHAnsi"/>
        </w:rPr>
        <w:t xml:space="preserve">sua </w:t>
      </w:r>
      <w:r w:rsidRPr="002F7079">
        <w:rPr>
          <w:rFonts w:cstheme="minorHAnsi"/>
        </w:rPr>
        <w:t xml:space="preserve">vulnerabilidade para infeções, tal como </w:t>
      </w:r>
      <w:r w:rsidRPr="002F7079">
        <w:rPr>
          <w:rFonts w:cstheme="minorHAnsi"/>
          <w:noProof/>
        </w:rPr>
        <w:t>Tavares et al. (2022)</w:t>
      </w:r>
      <w:r w:rsidRPr="002F7079">
        <w:rPr>
          <w:rFonts w:cstheme="minorHAnsi"/>
        </w:rPr>
        <w:t xml:space="preserve"> refere, ocorrendo uma diminuição da imunidade, assim como um aumento no período de cicatrização, contribuindo para o aumento </w:t>
      </w:r>
      <w:r w:rsidR="002D2764" w:rsidRPr="002F7079">
        <w:rPr>
          <w:rFonts w:cstheme="minorHAnsi"/>
        </w:rPr>
        <w:t>do risco</w:t>
      </w:r>
      <w:r w:rsidRPr="002F7079">
        <w:rPr>
          <w:rFonts w:cstheme="minorHAnsi"/>
        </w:rPr>
        <w:t>. No entanto, a literatura sugere que a presença de um maior número de comorbi</w:t>
      </w:r>
      <w:r w:rsidR="002D2764" w:rsidRPr="002F7079">
        <w:rPr>
          <w:rFonts w:cstheme="minorHAnsi"/>
        </w:rPr>
        <w:t>li</w:t>
      </w:r>
      <w:r w:rsidRPr="002F7079">
        <w:rPr>
          <w:rFonts w:cstheme="minorHAnsi"/>
        </w:rPr>
        <w:t xml:space="preserve">dades parece ser mais relevante do que a idade isoladamente </w:t>
      </w:r>
      <w:r w:rsidRPr="002F7079">
        <w:rPr>
          <w:rFonts w:cstheme="minorHAnsi"/>
          <w:noProof/>
        </w:rPr>
        <w:t>(Sousa</w:t>
      </w:r>
      <w:r w:rsidR="00CF1D29" w:rsidRPr="002F7079">
        <w:rPr>
          <w:rFonts w:cstheme="minorHAnsi"/>
          <w:noProof/>
        </w:rPr>
        <w:t xml:space="preserve"> et al</w:t>
      </w:r>
      <w:r w:rsidRPr="002F7079">
        <w:rPr>
          <w:rFonts w:cstheme="minorHAnsi"/>
          <w:noProof/>
        </w:rPr>
        <w:t>, 2021)</w:t>
      </w:r>
      <w:r w:rsidRPr="002F7079">
        <w:rPr>
          <w:rFonts w:cstheme="minorHAnsi"/>
        </w:rPr>
        <w:t xml:space="preserve">. Outro autor corrobora com o seu estudo, referindo que os idosos apresentam um maior risco de ILC, não só pelas comorbilidades adjacentes, mas pelas limitações na manutenção da normotermia, no equilíbrio hidroeletrolitico, na vascularização e na capacidade ou funcionamento pulmonar </w:t>
      </w:r>
      <w:r w:rsidRPr="002F7079">
        <w:rPr>
          <w:rFonts w:cstheme="minorHAnsi"/>
          <w:noProof/>
        </w:rPr>
        <w:t>(Martins &amp; Fernandes, 2019)</w:t>
      </w:r>
      <w:r w:rsidRPr="002F7079">
        <w:rPr>
          <w:rFonts w:cstheme="minorHAnsi"/>
        </w:rPr>
        <w:t xml:space="preserve">. </w:t>
      </w:r>
      <w:r w:rsidR="007C2421" w:rsidRPr="002F7079">
        <w:rPr>
          <w:rFonts w:cstheme="minorHAnsi"/>
        </w:rPr>
        <w:t xml:space="preserve">Já </w:t>
      </w:r>
      <w:r w:rsidRPr="002F7079">
        <w:rPr>
          <w:rFonts w:cstheme="minorHAnsi"/>
          <w:noProof/>
        </w:rPr>
        <w:t>Kaye et al. (2005)</w:t>
      </w:r>
      <w:r w:rsidRPr="002F7079">
        <w:rPr>
          <w:rFonts w:cstheme="minorHAnsi"/>
        </w:rPr>
        <w:t>,</w:t>
      </w:r>
      <w:r w:rsidR="007C2421" w:rsidRPr="002F7079">
        <w:rPr>
          <w:rFonts w:cstheme="minorHAnsi"/>
        </w:rPr>
        <w:t xml:space="preserve"> atribui</w:t>
      </w:r>
      <w:r w:rsidRPr="002F7079">
        <w:rPr>
          <w:rFonts w:cstheme="minorHAnsi"/>
        </w:rPr>
        <w:t xml:space="preserve"> a um efeito de “sobrevivente resistente”, ou seja, a tendência de que as pessoas que sobrevivem até a uma idade mais avançada possam ter uma composição genética que lhes permita </w:t>
      </w:r>
      <w:r w:rsidR="007C2421" w:rsidRPr="002F7079">
        <w:rPr>
          <w:rFonts w:cstheme="minorHAnsi"/>
        </w:rPr>
        <w:t>uma maior resistência</w:t>
      </w:r>
      <w:r w:rsidRPr="002F7079">
        <w:rPr>
          <w:rFonts w:cstheme="minorHAnsi"/>
        </w:rPr>
        <w:t xml:space="preserve"> às </w:t>
      </w:r>
      <w:r w:rsidRPr="002F7079">
        <w:rPr>
          <w:rFonts w:cstheme="minorHAnsi"/>
        </w:rPr>
        <w:lastRenderedPageBreak/>
        <w:t xml:space="preserve">ameaças à saúde em comparação com a população em geral. </w:t>
      </w:r>
      <w:r w:rsidR="00466971" w:rsidRPr="002F7079">
        <w:rPr>
          <w:rFonts w:cstheme="minorHAnsi"/>
        </w:rPr>
        <w:t>A</w:t>
      </w:r>
      <w:r w:rsidRPr="002F7079">
        <w:rPr>
          <w:rFonts w:cstheme="minorHAnsi"/>
        </w:rPr>
        <w:t xml:space="preserve"> </w:t>
      </w:r>
      <w:r w:rsidR="007C2421" w:rsidRPr="002F7079">
        <w:rPr>
          <w:rFonts w:cstheme="minorHAnsi"/>
        </w:rPr>
        <w:t>idade</w:t>
      </w:r>
      <w:r w:rsidRPr="002F7079">
        <w:rPr>
          <w:rFonts w:cstheme="minorHAnsi"/>
        </w:rPr>
        <w:t xml:space="preserve"> dos 50-55 anos também foi referida como fator de risco de ILC</w:t>
      </w:r>
      <w:r w:rsidR="00DE330C" w:rsidRPr="002F7079">
        <w:rPr>
          <w:rFonts w:cstheme="minorHAnsi"/>
        </w:rPr>
        <w:t xml:space="preserve"> não modificável</w:t>
      </w:r>
      <w:r w:rsidRPr="002F7079">
        <w:rPr>
          <w:rFonts w:cstheme="minorHAnsi"/>
        </w:rPr>
        <w:t xml:space="preserve">, não propriamente pela idade, mas sim </w:t>
      </w:r>
      <w:r w:rsidR="002D2764" w:rsidRPr="002F7079">
        <w:rPr>
          <w:rFonts w:cstheme="minorHAnsi"/>
        </w:rPr>
        <w:t>por um</w:t>
      </w:r>
      <w:r w:rsidRPr="002F7079">
        <w:rPr>
          <w:rFonts w:cstheme="minorHAnsi"/>
        </w:rPr>
        <w:t xml:space="preserve"> aumento do IMC e desgaste ósseo</w:t>
      </w:r>
      <w:r w:rsidR="001A5A3D" w:rsidRPr="002F7079">
        <w:rPr>
          <w:rFonts w:cstheme="minorHAnsi"/>
        </w:rPr>
        <w:t>.</w:t>
      </w:r>
    </w:p>
    <w:p w14:paraId="6DB59D87" w14:textId="7EFF8353" w:rsidR="00BB54F1" w:rsidRPr="002F7079" w:rsidRDefault="00BB54F1" w:rsidP="002F7079">
      <w:pPr>
        <w:spacing w:after="0" w:line="360" w:lineRule="auto"/>
        <w:ind w:left="-170" w:right="-170"/>
        <w:jc w:val="both"/>
        <w:rPr>
          <w:rFonts w:cstheme="minorHAnsi"/>
          <w:noProof/>
        </w:rPr>
      </w:pPr>
      <w:r w:rsidRPr="002F7079">
        <w:rPr>
          <w:rFonts w:cstheme="minorHAnsi"/>
        </w:rPr>
        <w:t>As comorbilidades mais referidas foram a Artrite Reumatoide, a Insuficiência renal e a Depressão, a Displasia Músculo-Esquelética</w:t>
      </w:r>
      <w:r w:rsidR="001A5A3D" w:rsidRPr="002F7079">
        <w:rPr>
          <w:rFonts w:cstheme="minorHAnsi"/>
        </w:rPr>
        <w:t>,</w:t>
      </w:r>
      <w:r w:rsidRPr="002F7079">
        <w:rPr>
          <w:rFonts w:cstheme="minorHAnsi"/>
        </w:rPr>
        <w:t xml:space="preserve"> a Insuficiência Cardíaca Congestiva e Coagulopatia, a Doença Hepática, a Diabetes </w:t>
      </w:r>
      <w:proofErr w:type="spellStart"/>
      <w:r w:rsidRPr="002F7079">
        <w:rPr>
          <w:rFonts w:cstheme="minorHAnsi"/>
          <w:i/>
          <w:iCs/>
        </w:rPr>
        <w:t>Mellitus</w:t>
      </w:r>
      <w:proofErr w:type="spellEnd"/>
      <w:r w:rsidR="001A5A3D" w:rsidRPr="002F7079">
        <w:rPr>
          <w:rFonts w:cstheme="minorHAnsi"/>
        </w:rPr>
        <w:t>,</w:t>
      </w:r>
      <w:r w:rsidRPr="002F7079">
        <w:rPr>
          <w:rFonts w:cstheme="minorHAnsi"/>
        </w:rPr>
        <w:t xml:space="preserve"> a Hipertensão Arterial</w:t>
      </w:r>
      <w:r w:rsidR="001A5A3D" w:rsidRPr="002F7079">
        <w:rPr>
          <w:rFonts w:cstheme="minorHAnsi"/>
        </w:rPr>
        <w:t xml:space="preserve"> e</w:t>
      </w:r>
      <w:r w:rsidRPr="002F7079">
        <w:rPr>
          <w:rFonts w:cstheme="minorHAnsi"/>
        </w:rPr>
        <w:t xml:space="preserve"> a Doença Venosa Periférica, causando preocupação em todo o período perioperatório, à exceção da doença venosa periférica que exigirá maior vigilância no pós-operatório. </w:t>
      </w:r>
      <w:r w:rsidR="002D2764" w:rsidRPr="002F7079">
        <w:rPr>
          <w:rFonts w:cstheme="minorHAnsi"/>
        </w:rPr>
        <w:t>Uma</w:t>
      </w:r>
      <w:r w:rsidRPr="002F7079">
        <w:rPr>
          <w:rFonts w:cstheme="minorHAnsi"/>
        </w:rPr>
        <w:t xml:space="preserve"> pontuação de pelo menos 3 no índice de comorbilidade de </w:t>
      </w:r>
      <w:proofErr w:type="spellStart"/>
      <w:r w:rsidRPr="002F7079">
        <w:rPr>
          <w:rFonts w:cstheme="minorHAnsi"/>
          <w:i/>
          <w:iCs/>
        </w:rPr>
        <w:t>Charlson</w:t>
      </w:r>
      <w:proofErr w:type="spellEnd"/>
      <w:r w:rsidRPr="002F7079">
        <w:rPr>
          <w:rFonts w:cstheme="minorHAnsi"/>
        </w:rPr>
        <w:t xml:space="preserve"> elevavam o risco de ILC. A presença destes fatores na ATJ como estando associados ao risco de ILC, são fortemente referidos em outros estudos </w:t>
      </w:r>
      <w:r w:rsidR="001A5A3D" w:rsidRPr="002F7079">
        <w:rPr>
          <w:rFonts w:cstheme="minorHAnsi"/>
          <w:noProof/>
        </w:rPr>
        <w:t xml:space="preserve">como o de </w:t>
      </w:r>
      <w:r w:rsidR="00AE045E" w:rsidRPr="002F7079">
        <w:rPr>
          <w:rFonts w:cstheme="minorHAnsi"/>
          <w:noProof/>
        </w:rPr>
        <w:t xml:space="preserve">Yang et al. </w:t>
      </w:r>
      <w:r w:rsidR="001A5A3D" w:rsidRPr="002F7079">
        <w:rPr>
          <w:rFonts w:cstheme="minorHAnsi"/>
          <w:noProof/>
        </w:rPr>
        <w:t>(</w:t>
      </w:r>
      <w:r w:rsidR="00AE045E" w:rsidRPr="002F7079">
        <w:rPr>
          <w:rFonts w:cstheme="minorHAnsi"/>
          <w:noProof/>
        </w:rPr>
        <w:t>2020</w:t>
      </w:r>
      <w:r w:rsidRPr="002F7079">
        <w:rPr>
          <w:rFonts w:cstheme="minorHAnsi"/>
          <w:noProof/>
        </w:rPr>
        <w:t>)</w:t>
      </w:r>
      <w:r w:rsidRPr="002F7079">
        <w:rPr>
          <w:rFonts w:cstheme="minorHAnsi"/>
        </w:rPr>
        <w:t xml:space="preserve">. O desenvolvimento de infeções deve-se a alterações na vascularização, na sensibilidade e no controlo da glicemia tendo impacto na inibição do processo de cicatrização e na consequente função imunológica </w:t>
      </w:r>
      <w:r w:rsidRPr="002F7079">
        <w:rPr>
          <w:rFonts w:cstheme="minorHAnsi"/>
          <w:noProof/>
        </w:rPr>
        <w:t>(Helito et al., 2020; Júnior et al., 2021; Silva et al., 2021).</w:t>
      </w:r>
    </w:p>
    <w:p w14:paraId="6B694298" w14:textId="01883359" w:rsidR="00BB54F1" w:rsidRPr="002F7079" w:rsidRDefault="00BB54F1" w:rsidP="002F7079">
      <w:pPr>
        <w:spacing w:after="0" w:line="360" w:lineRule="auto"/>
        <w:ind w:left="-170" w:right="-170"/>
        <w:jc w:val="both"/>
        <w:rPr>
          <w:rFonts w:cstheme="minorHAnsi"/>
          <w:noProof/>
        </w:rPr>
      </w:pPr>
      <w:r w:rsidRPr="002F7079">
        <w:rPr>
          <w:rFonts w:cstheme="minorHAnsi"/>
        </w:rPr>
        <w:t xml:space="preserve">A Insuficiência Cardíaca Congestiva e a Coagulopatia foram apenas referenciados </w:t>
      </w:r>
      <w:r w:rsidR="0016059B" w:rsidRPr="002F7079">
        <w:rPr>
          <w:rFonts w:cstheme="minorHAnsi"/>
        </w:rPr>
        <w:t>num</w:t>
      </w:r>
      <w:r w:rsidRPr="002F7079">
        <w:rPr>
          <w:rFonts w:cstheme="minorHAnsi"/>
        </w:rPr>
        <w:t xml:space="preserve"> estudo, </w:t>
      </w:r>
      <w:r w:rsidR="0016059B" w:rsidRPr="002F7079">
        <w:rPr>
          <w:rFonts w:cstheme="minorHAnsi"/>
        </w:rPr>
        <w:t>representando</w:t>
      </w:r>
      <w:r w:rsidRPr="002F7079">
        <w:rPr>
          <w:rFonts w:cstheme="minorHAnsi"/>
        </w:rPr>
        <w:t xml:space="preserve"> para além do risco de ILC</w:t>
      </w:r>
      <w:r w:rsidR="0016059B" w:rsidRPr="002F7079">
        <w:rPr>
          <w:rFonts w:cstheme="minorHAnsi"/>
        </w:rPr>
        <w:t xml:space="preserve"> um aumento do risco de</w:t>
      </w:r>
      <w:r w:rsidRPr="002F7079">
        <w:rPr>
          <w:rFonts w:cstheme="minorHAnsi"/>
        </w:rPr>
        <w:t xml:space="preserve"> mortalidade. </w:t>
      </w:r>
      <w:r w:rsidR="0016059B" w:rsidRPr="002F7079">
        <w:rPr>
          <w:rFonts w:cstheme="minorHAnsi"/>
        </w:rPr>
        <w:t>E</w:t>
      </w:r>
      <w:r w:rsidRPr="002F7079">
        <w:rPr>
          <w:rFonts w:cstheme="minorHAnsi"/>
        </w:rPr>
        <w:t xml:space="preserve">stão </w:t>
      </w:r>
      <w:r w:rsidR="002D2764" w:rsidRPr="002F7079">
        <w:rPr>
          <w:rFonts w:cstheme="minorHAnsi"/>
        </w:rPr>
        <w:t xml:space="preserve">ainda </w:t>
      </w:r>
      <w:r w:rsidRPr="002F7079">
        <w:rPr>
          <w:rFonts w:cstheme="minorHAnsi"/>
        </w:rPr>
        <w:t xml:space="preserve">associadas a um risco de Hemorragia Pós-Operatória e Infeção, sendo esta evidência apoiada por vários outros autores. </w:t>
      </w:r>
      <w:r w:rsidRPr="002F7079">
        <w:rPr>
          <w:rFonts w:cstheme="minorHAnsi"/>
          <w:noProof/>
        </w:rPr>
        <w:t>(Bachoura et al.</w:t>
      </w:r>
      <w:r w:rsidR="004C2064" w:rsidRPr="002F7079">
        <w:rPr>
          <w:rFonts w:cstheme="minorHAnsi"/>
          <w:noProof/>
        </w:rPr>
        <w:t xml:space="preserve">, </w:t>
      </w:r>
      <w:r w:rsidRPr="002F7079">
        <w:rPr>
          <w:rFonts w:cstheme="minorHAnsi"/>
          <w:noProof/>
        </w:rPr>
        <w:t>2011; Bozic et al</w:t>
      </w:r>
      <w:r w:rsidR="004F4355" w:rsidRPr="002F7079">
        <w:rPr>
          <w:rFonts w:cstheme="minorHAnsi"/>
          <w:noProof/>
        </w:rPr>
        <w:t>.</w:t>
      </w:r>
      <w:r w:rsidRPr="002F7079">
        <w:rPr>
          <w:rFonts w:cstheme="minorHAnsi"/>
          <w:noProof/>
        </w:rPr>
        <w:t xml:space="preserve">, 2012; Fernandes, 2022). </w:t>
      </w:r>
    </w:p>
    <w:p w14:paraId="402CB97B" w14:textId="59E638AB" w:rsidR="00BB54F1" w:rsidRPr="002F7079" w:rsidRDefault="00BB54F1" w:rsidP="002F7079">
      <w:pPr>
        <w:spacing w:after="0" w:line="360" w:lineRule="auto"/>
        <w:ind w:left="-170" w:right="-170"/>
        <w:jc w:val="both"/>
        <w:rPr>
          <w:rFonts w:cstheme="minorHAnsi"/>
        </w:rPr>
      </w:pPr>
      <w:r w:rsidRPr="002F7079">
        <w:rPr>
          <w:rFonts w:cstheme="minorHAnsi"/>
        </w:rPr>
        <w:t xml:space="preserve">A Doença Hepática </w:t>
      </w:r>
      <w:r w:rsidR="00314580" w:rsidRPr="002F7079">
        <w:rPr>
          <w:rFonts w:cstheme="minorHAnsi"/>
        </w:rPr>
        <w:t>é</w:t>
      </w:r>
      <w:r w:rsidRPr="002F7079">
        <w:rPr>
          <w:rFonts w:cstheme="minorHAnsi"/>
        </w:rPr>
        <w:t xml:space="preserve"> </w:t>
      </w:r>
      <w:r w:rsidR="002D2764" w:rsidRPr="002F7079">
        <w:rPr>
          <w:rFonts w:cstheme="minorHAnsi"/>
        </w:rPr>
        <w:t xml:space="preserve">também </w:t>
      </w:r>
      <w:r w:rsidRPr="002F7079">
        <w:rPr>
          <w:rFonts w:cstheme="minorHAnsi"/>
        </w:rPr>
        <w:t>fator de risco</w:t>
      </w:r>
      <w:r w:rsidR="001A5A3D" w:rsidRPr="002F7079">
        <w:rPr>
          <w:rFonts w:cstheme="minorHAnsi"/>
        </w:rPr>
        <w:t xml:space="preserve"> não modificável</w:t>
      </w:r>
      <w:r w:rsidRPr="002F7079">
        <w:rPr>
          <w:rFonts w:cstheme="minorHAnsi"/>
        </w:rPr>
        <w:t xml:space="preserve">, pois a presença de hepatite, marcadores de hepatite ativa, trombocitopenia e fibrose hepática </w:t>
      </w:r>
      <w:r w:rsidRPr="002F7079">
        <w:rPr>
          <w:rFonts w:cstheme="minorHAnsi"/>
        </w:rPr>
        <w:t xml:space="preserve">está associado ao aumento da taxa de infeção. </w:t>
      </w:r>
      <w:r w:rsidRPr="002F7079">
        <w:rPr>
          <w:rFonts w:cstheme="minorHAnsi"/>
          <w:noProof/>
        </w:rPr>
        <w:t xml:space="preserve">Nunes (2014) </w:t>
      </w:r>
      <w:r w:rsidRPr="002F7079">
        <w:rPr>
          <w:rFonts w:cstheme="minorHAnsi"/>
        </w:rPr>
        <w:t xml:space="preserve">refere </w:t>
      </w:r>
      <w:r w:rsidR="002D2764" w:rsidRPr="002F7079">
        <w:rPr>
          <w:rFonts w:cstheme="minorHAnsi"/>
        </w:rPr>
        <w:t xml:space="preserve">que </w:t>
      </w:r>
      <w:r w:rsidRPr="002F7079">
        <w:rPr>
          <w:rFonts w:cstheme="minorHAnsi"/>
        </w:rPr>
        <w:t xml:space="preserve">o fígado </w:t>
      </w:r>
      <w:r w:rsidR="00314580" w:rsidRPr="002F7079">
        <w:rPr>
          <w:rFonts w:cstheme="minorHAnsi"/>
        </w:rPr>
        <w:t>garante</w:t>
      </w:r>
      <w:r w:rsidRPr="002F7079">
        <w:rPr>
          <w:rFonts w:cstheme="minorHAnsi"/>
        </w:rPr>
        <w:t xml:space="preserve"> a </w:t>
      </w:r>
      <w:r w:rsidR="0016059B" w:rsidRPr="002F7079">
        <w:rPr>
          <w:rFonts w:cstheme="minorHAnsi"/>
        </w:rPr>
        <w:t>hemóstase</w:t>
      </w:r>
      <w:r w:rsidRPr="002F7079">
        <w:rPr>
          <w:rFonts w:cstheme="minorHAnsi"/>
        </w:rPr>
        <w:t>, pois é onde ocorre a síntese de fatores de coagulação, de proteínas anticoagulantes e relacionadas com a fibrinólise</w:t>
      </w:r>
      <w:r w:rsidR="00D66C41" w:rsidRPr="002F7079">
        <w:rPr>
          <w:rFonts w:cstheme="minorHAnsi"/>
        </w:rPr>
        <w:t xml:space="preserve"> e é responsável pelo metabolismo de fármacos. Esta patologia</w:t>
      </w:r>
      <w:r w:rsidRPr="002F7079">
        <w:rPr>
          <w:rFonts w:cstheme="minorHAnsi"/>
        </w:rPr>
        <w:t xml:space="preserve"> </w:t>
      </w:r>
      <w:r w:rsidR="00D66C41" w:rsidRPr="002F7079">
        <w:rPr>
          <w:rFonts w:cstheme="minorHAnsi"/>
        </w:rPr>
        <w:t>aumenta</w:t>
      </w:r>
      <w:r w:rsidRPr="002F7079">
        <w:rPr>
          <w:rFonts w:cstheme="minorHAnsi"/>
        </w:rPr>
        <w:t xml:space="preserve"> o risco de </w:t>
      </w:r>
      <w:r w:rsidR="00D66C41" w:rsidRPr="002F7079">
        <w:rPr>
          <w:rFonts w:cstheme="minorHAnsi"/>
        </w:rPr>
        <w:t>hemorragia</w:t>
      </w:r>
      <w:r w:rsidRPr="002F7079">
        <w:rPr>
          <w:rFonts w:cstheme="minorHAnsi"/>
        </w:rPr>
        <w:t>, interferindo no processo de cicatrização</w:t>
      </w:r>
      <w:r w:rsidR="00D66C41" w:rsidRPr="002F7079">
        <w:rPr>
          <w:rFonts w:cstheme="minorHAnsi"/>
        </w:rPr>
        <w:t xml:space="preserve">. </w:t>
      </w:r>
      <w:r w:rsidRPr="002F7079">
        <w:rPr>
          <w:rFonts w:cstheme="minorHAnsi"/>
        </w:rPr>
        <w:t xml:space="preserve">Segundo este </w:t>
      </w:r>
      <w:r w:rsidR="00314580" w:rsidRPr="002F7079">
        <w:rPr>
          <w:rFonts w:cstheme="minorHAnsi"/>
        </w:rPr>
        <w:t>artigo</w:t>
      </w:r>
      <w:r w:rsidRPr="002F7079">
        <w:rPr>
          <w:rFonts w:cstheme="minorHAnsi"/>
        </w:rPr>
        <w:t xml:space="preserve">, o estudo laboratorial no pré-operatório assume um ponto de interesse na pessoa que irá ser submetida a ATJ. </w:t>
      </w:r>
    </w:p>
    <w:p w14:paraId="68558488" w14:textId="0A4B4073" w:rsidR="00BB54F1" w:rsidRPr="002F7079" w:rsidRDefault="001A5A3D" w:rsidP="002F7079">
      <w:pPr>
        <w:spacing w:after="0" w:line="360" w:lineRule="auto"/>
        <w:ind w:left="-170" w:right="-170"/>
        <w:jc w:val="both"/>
        <w:rPr>
          <w:rFonts w:cstheme="minorHAnsi"/>
          <w:noProof/>
        </w:rPr>
      </w:pPr>
      <w:r w:rsidRPr="002F7079">
        <w:rPr>
          <w:rFonts w:cs="Calibri"/>
        </w:rPr>
        <w:t>O</w:t>
      </w:r>
      <w:r w:rsidR="00BB54F1" w:rsidRPr="002F7079">
        <w:rPr>
          <w:rFonts w:cstheme="minorHAnsi"/>
        </w:rPr>
        <w:t xml:space="preserve"> sistema da </w:t>
      </w:r>
      <w:proofErr w:type="spellStart"/>
      <w:r w:rsidR="00BB54F1" w:rsidRPr="002F7079">
        <w:rPr>
          <w:rFonts w:cstheme="minorHAnsi"/>
          <w:i/>
          <w:iCs/>
        </w:rPr>
        <w:t>American</w:t>
      </w:r>
      <w:proofErr w:type="spellEnd"/>
      <w:r w:rsidR="00BB54F1" w:rsidRPr="002F7079">
        <w:rPr>
          <w:rFonts w:cstheme="minorHAnsi"/>
          <w:i/>
          <w:iCs/>
        </w:rPr>
        <w:t xml:space="preserve"> </w:t>
      </w:r>
      <w:proofErr w:type="spellStart"/>
      <w:r w:rsidR="00BB54F1" w:rsidRPr="002F7079">
        <w:rPr>
          <w:rFonts w:cstheme="minorHAnsi"/>
          <w:i/>
          <w:iCs/>
        </w:rPr>
        <w:t>Society</w:t>
      </w:r>
      <w:proofErr w:type="spellEnd"/>
      <w:r w:rsidR="00BB54F1" w:rsidRPr="002F7079">
        <w:rPr>
          <w:rFonts w:cstheme="minorHAnsi"/>
          <w:i/>
          <w:iCs/>
        </w:rPr>
        <w:t xml:space="preserve"> </w:t>
      </w:r>
      <w:proofErr w:type="spellStart"/>
      <w:r w:rsidR="00BB54F1" w:rsidRPr="002F7079">
        <w:rPr>
          <w:rFonts w:cstheme="minorHAnsi"/>
          <w:i/>
          <w:iCs/>
        </w:rPr>
        <w:t>of</w:t>
      </w:r>
      <w:proofErr w:type="spellEnd"/>
      <w:r w:rsidR="00BB54F1" w:rsidRPr="002F7079">
        <w:rPr>
          <w:rFonts w:cstheme="minorHAnsi"/>
          <w:i/>
          <w:iCs/>
        </w:rPr>
        <w:t xml:space="preserve"> </w:t>
      </w:r>
      <w:proofErr w:type="spellStart"/>
      <w:r w:rsidR="00BB54F1" w:rsidRPr="002F7079">
        <w:rPr>
          <w:rFonts w:cstheme="minorHAnsi"/>
          <w:i/>
          <w:iCs/>
        </w:rPr>
        <w:t>Anesthesiology</w:t>
      </w:r>
      <w:proofErr w:type="spellEnd"/>
      <w:r w:rsidR="00BB54F1" w:rsidRPr="002F7079">
        <w:rPr>
          <w:rFonts w:cstheme="minorHAnsi"/>
        </w:rPr>
        <w:t xml:space="preserve"> (ASA) superior a II </w:t>
      </w:r>
      <w:r w:rsidRPr="002F7079">
        <w:rPr>
          <w:rFonts w:cstheme="minorHAnsi"/>
        </w:rPr>
        <w:t>também foi identificado</w:t>
      </w:r>
      <w:r w:rsidR="00466971" w:rsidRPr="002F7079">
        <w:rPr>
          <w:rFonts w:cstheme="minorHAnsi"/>
        </w:rPr>
        <w:t>,</w:t>
      </w:r>
      <w:r w:rsidR="00BB54F1" w:rsidRPr="002F7079">
        <w:rPr>
          <w:rFonts w:cstheme="minorHAnsi"/>
        </w:rPr>
        <w:t xml:space="preserve"> no entanto para outros autores, tal como </w:t>
      </w:r>
      <w:r w:rsidR="00BB54F1" w:rsidRPr="002F7079">
        <w:rPr>
          <w:rFonts w:cstheme="minorHAnsi"/>
          <w:noProof/>
        </w:rPr>
        <w:t>Resende et al. (2018)</w:t>
      </w:r>
      <w:r w:rsidR="00BB54F1" w:rsidRPr="002F7079">
        <w:rPr>
          <w:rFonts w:cstheme="minorHAnsi"/>
        </w:rPr>
        <w:t xml:space="preserve"> esta avaliação do risco cirúrgico e do estado físico do doente, só deverá ser considerado relevante a partir de ASA ≥3, uma vez que este índice está diretamente relacionado com a presença de comorbilidades, evidenciadas principalmente nos idosos </w:t>
      </w:r>
      <w:r w:rsidR="00BB54F1" w:rsidRPr="002F7079">
        <w:rPr>
          <w:rFonts w:cstheme="minorHAnsi"/>
          <w:noProof/>
        </w:rPr>
        <w:t>(</w:t>
      </w:r>
      <w:r w:rsidR="00AE045E" w:rsidRPr="002F7079">
        <w:rPr>
          <w:rFonts w:cstheme="minorHAnsi"/>
          <w:noProof/>
        </w:rPr>
        <w:t>Yang et al., 2020</w:t>
      </w:r>
      <w:r w:rsidR="00BB54F1" w:rsidRPr="002F7079">
        <w:rPr>
          <w:rFonts w:cstheme="minorHAnsi"/>
          <w:noProof/>
        </w:rPr>
        <w:t>). Mais uma vez, a evidência demontra como sendo uma prioridade, o investimento em estratégias promotoras da gestão das doenças crónicas, como forma de prevenir futuras ILC (Carvalho et al., 2017).</w:t>
      </w:r>
    </w:p>
    <w:p w14:paraId="33CA492C" w14:textId="60F33631" w:rsidR="00BB54F1" w:rsidRPr="002F7079" w:rsidRDefault="00C65FFE" w:rsidP="002F7079">
      <w:pPr>
        <w:spacing w:after="0" w:line="360" w:lineRule="auto"/>
        <w:ind w:left="-170" w:right="-170"/>
        <w:jc w:val="both"/>
        <w:rPr>
          <w:rFonts w:cstheme="minorHAnsi"/>
        </w:rPr>
      </w:pPr>
      <w:r w:rsidRPr="002F7079">
        <w:rPr>
          <w:rFonts w:cstheme="minorHAnsi"/>
          <w:noProof/>
        </w:rPr>
        <w:t>A</w:t>
      </w:r>
      <w:r w:rsidR="00BB54F1" w:rsidRPr="002F7079">
        <w:rPr>
          <w:rFonts w:cstheme="minorHAnsi"/>
          <w:noProof/>
        </w:rPr>
        <w:t xml:space="preserve"> Sazonalidade</w:t>
      </w:r>
      <w:r w:rsidR="00BB54F1" w:rsidRPr="002F7079">
        <w:rPr>
          <w:rFonts w:cstheme="minorHAnsi"/>
        </w:rPr>
        <w:t xml:space="preserve"> </w:t>
      </w:r>
      <w:r w:rsidR="001A5A3D" w:rsidRPr="002F7079">
        <w:rPr>
          <w:rFonts w:cstheme="minorHAnsi"/>
        </w:rPr>
        <w:t xml:space="preserve">também é </w:t>
      </w:r>
      <w:r w:rsidR="00395A84" w:rsidRPr="002F7079">
        <w:rPr>
          <w:rFonts w:cstheme="minorHAnsi"/>
        </w:rPr>
        <w:t>considerada</w:t>
      </w:r>
      <w:r w:rsidR="00BB54F1" w:rsidRPr="002F7079">
        <w:rPr>
          <w:rFonts w:cstheme="minorHAnsi"/>
        </w:rPr>
        <w:t xml:space="preserve"> como um fator de risco de ILC</w:t>
      </w:r>
      <w:r w:rsidR="00314580" w:rsidRPr="002F7079">
        <w:rPr>
          <w:rFonts w:cstheme="minorHAnsi"/>
        </w:rPr>
        <w:t>, pois</w:t>
      </w:r>
      <w:r w:rsidR="00BB54F1" w:rsidRPr="002F7079">
        <w:rPr>
          <w:rFonts w:cstheme="minorHAnsi"/>
        </w:rPr>
        <w:t xml:space="preserve"> </w:t>
      </w:r>
      <w:r w:rsidR="001A5A3D" w:rsidRPr="002F7079">
        <w:rPr>
          <w:rFonts w:cstheme="minorHAnsi"/>
        </w:rPr>
        <w:t xml:space="preserve">verificou-se que </w:t>
      </w:r>
      <w:r w:rsidR="00BB54F1" w:rsidRPr="002F7079">
        <w:rPr>
          <w:rFonts w:cstheme="minorHAnsi"/>
        </w:rPr>
        <w:t xml:space="preserve">o risco de infeção </w:t>
      </w:r>
      <w:r w:rsidR="001A5A3D" w:rsidRPr="002F7079">
        <w:rPr>
          <w:rFonts w:cstheme="minorHAnsi"/>
        </w:rPr>
        <w:t>foi</w:t>
      </w:r>
      <w:r w:rsidR="00BB54F1" w:rsidRPr="002F7079">
        <w:rPr>
          <w:rFonts w:cstheme="minorHAnsi"/>
        </w:rPr>
        <w:t xml:space="preserve"> maior nas cirurgias realizadas no Verão </w:t>
      </w:r>
      <w:r w:rsidR="00D66C41" w:rsidRPr="002F7079">
        <w:rPr>
          <w:rFonts w:cstheme="minorHAnsi"/>
        </w:rPr>
        <w:t>em comparação com</w:t>
      </w:r>
      <w:r w:rsidR="00BB54F1" w:rsidRPr="002F7079">
        <w:rPr>
          <w:rFonts w:cstheme="minorHAnsi"/>
        </w:rPr>
        <w:t xml:space="preserve"> as no Inverno. Este facto é explicado devido à colonização da epiderme, pois os padrões climáticos são responsáveis pelo aumento da proliferação bacteriana em determinadas regiões anatómicas</w:t>
      </w:r>
      <w:r w:rsidRPr="002F7079">
        <w:rPr>
          <w:rFonts w:cstheme="minorHAnsi"/>
        </w:rPr>
        <w:t xml:space="preserve"> </w:t>
      </w:r>
      <w:r w:rsidR="00BB54F1" w:rsidRPr="002F7079">
        <w:rPr>
          <w:rFonts w:cstheme="minorHAnsi"/>
          <w:noProof/>
        </w:rPr>
        <w:t>(Anthony et al., 2017)</w:t>
      </w:r>
      <w:r w:rsidR="00BB54F1" w:rsidRPr="002F7079">
        <w:rPr>
          <w:rFonts w:cstheme="minorHAnsi"/>
        </w:rPr>
        <w:t>.</w:t>
      </w:r>
    </w:p>
    <w:p w14:paraId="7265E8CF" w14:textId="7936AE8B" w:rsidR="00BB54F1" w:rsidRPr="002F7079" w:rsidRDefault="001A5A3D" w:rsidP="002F7079">
      <w:pPr>
        <w:spacing w:after="0" w:line="360" w:lineRule="auto"/>
        <w:ind w:left="-170" w:right="-170"/>
        <w:jc w:val="both"/>
        <w:rPr>
          <w:rFonts w:cstheme="minorHAnsi"/>
          <w:noProof/>
        </w:rPr>
      </w:pPr>
      <w:r w:rsidRPr="002F7079">
        <w:rPr>
          <w:rFonts w:cstheme="minorHAnsi"/>
        </w:rPr>
        <w:t>Outro fator de risco de ILC não modificável identificado foi a</w:t>
      </w:r>
      <w:r w:rsidR="00BB54F1" w:rsidRPr="002F7079">
        <w:rPr>
          <w:rFonts w:cstheme="minorHAnsi"/>
        </w:rPr>
        <w:t xml:space="preserve"> Doença de </w:t>
      </w:r>
      <w:proofErr w:type="spellStart"/>
      <w:r w:rsidR="00BB54F1" w:rsidRPr="002F7079">
        <w:rPr>
          <w:rFonts w:cstheme="minorHAnsi"/>
          <w:i/>
          <w:iCs/>
        </w:rPr>
        <w:t>Ahlbäck</w:t>
      </w:r>
      <w:proofErr w:type="spellEnd"/>
      <w:r w:rsidR="00DF09E4" w:rsidRPr="002F7079">
        <w:rPr>
          <w:rFonts w:cstheme="minorHAnsi"/>
        </w:rPr>
        <w:t xml:space="preserve">, em apenas um estudo. </w:t>
      </w:r>
      <w:r w:rsidR="00395A84" w:rsidRPr="002F7079">
        <w:rPr>
          <w:rFonts w:cstheme="minorHAnsi"/>
          <w:noProof/>
        </w:rPr>
        <w:t>O</w:t>
      </w:r>
      <w:r w:rsidR="00BB54F1" w:rsidRPr="002F7079">
        <w:rPr>
          <w:rFonts w:cstheme="minorHAnsi"/>
          <w:noProof/>
        </w:rPr>
        <w:t xml:space="preserve"> seu diagnóstico é difícil</w:t>
      </w:r>
      <w:r w:rsidR="00395A84" w:rsidRPr="002F7079">
        <w:rPr>
          <w:rFonts w:cstheme="minorHAnsi"/>
          <w:noProof/>
        </w:rPr>
        <w:t>, consistindo</w:t>
      </w:r>
      <w:r w:rsidR="00BB54F1" w:rsidRPr="002F7079">
        <w:rPr>
          <w:rFonts w:cstheme="minorHAnsi"/>
          <w:noProof/>
        </w:rPr>
        <w:t xml:space="preserve"> </w:t>
      </w:r>
      <w:r w:rsidR="00395A84" w:rsidRPr="002F7079">
        <w:rPr>
          <w:rFonts w:cstheme="minorHAnsi"/>
          <w:noProof/>
        </w:rPr>
        <w:t>numa</w:t>
      </w:r>
      <w:r w:rsidR="00BB54F1" w:rsidRPr="002F7079">
        <w:rPr>
          <w:rFonts w:cstheme="minorHAnsi"/>
          <w:noProof/>
        </w:rPr>
        <w:t xml:space="preserve"> alteração na revascularização </w:t>
      </w:r>
      <w:r w:rsidR="00395A84" w:rsidRPr="002F7079">
        <w:rPr>
          <w:rFonts w:cstheme="minorHAnsi"/>
          <w:noProof/>
        </w:rPr>
        <w:t>podendo</w:t>
      </w:r>
      <w:r w:rsidR="00BB54F1" w:rsidRPr="002F7079">
        <w:rPr>
          <w:rFonts w:cstheme="minorHAnsi"/>
          <w:noProof/>
        </w:rPr>
        <w:t xml:space="preserve"> </w:t>
      </w:r>
      <w:r w:rsidR="00B91A3F" w:rsidRPr="002F7079">
        <w:rPr>
          <w:rFonts w:cstheme="minorHAnsi"/>
          <w:noProof/>
        </w:rPr>
        <w:t>causar</w:t>
      </w:r>
      <w:r w:rsidR="00BB54F1" w:rsidRPr="002F7079">
        <w:rPr>
          <w:rFonts w:cstheme="minorHAnsi"/>
          <w:noProof/>
        </w:rPr>
        <w:t xml:space="preserve"> o atraso na cicatrização dos tecidos</w:t>
      </w:r>
      <w:r w:rsidR="00395A84" w:rsidRPr="002F7079">
        <w:rPr>
          <w:rFonts w:cstheme="minorHAnsi"/>
          <w:noProof/>
        </w:rPr>
        <w:t xml:space="preserve"> (Jadhav et al., 2023).</w:t>
      </w:r>
    </w:p>
    <w:p w14:paraId="4AA14682" w14:textId="66BE0B63" w:rsidR="00BB54F1" w:rsidRPr="002F7079" w:rsidRDefault="00DF09E4" w:rsidP="002F7079">
      <w:pPr>
        <w:spacing w:after="0" w:line="360" w:lineRule="auto"/>
        <w:ind w:left="-170" w:right="-170"/>
        <w:jc w:val="both"/>
        <w:rPr>
          <w:rFonts w:cstheme="minorHAnsi"/>
          <w:noProof/>
        </w:rPr>
      </w:pPr>
      <w:r w:rsidRPr="002F7079">
        <w:rPr>
          <w:rFonts w:cstheme="minorHAnsi"/>
          <w:noProof/>
        </w:rPr>
        <w:lastRenderedPageBreak/>
        <w:t>Em relação ao fator da</w:t>
      </w:r>
      <w:r w:rsidR="00BB54F1" w:rsidRPr="002F7079">
        <w:rPr>
          <w:rFonts w:cstheme="minorHAnsi"/>
          <w:noProof/>
        </w:rPr>
        <w:t xml:space="preserve"> Insuficiência Renal em Hemodiálise</w:t>
      </w:r>
      <w:r w:rsidRPr="002F7079">
        <w:rPr>
          <w:rFonts w:cstheme="minorHAnsi"/>
          <w:noProof/>
        </w:rPr>
        <w:t>,</w:t>
      </w:r>
      <w:r w:rsidR="00BB54F1" w:rsidRPr="002F7079">
        <w:rPr>
          <w:rFonts w:cstheme="minorHAnsi"/>
          <w:noProof/>
        </w:rPr>
        <w:t xml:space="preserve"> </w:t>
      </w:r>
      <w:r w:rsidRPr="002F7079">
        <w:rPr>
          <w:rFonts w:cstheme="minorHAnsi"/>
          <w:noProof/>
        </w:rPr>
        <w:t>f</w:t>
      </w:r>
      <w:r w:rsidR="00114E37" w:rsidRPr="002F7079">
        <w:rPr>
          <w:rFonts w:cstheme="minorHAnsi"/>
          <w:noProof/>
        </w:rPr>
        <w:t>oi demonstrado</w:t>
      </w:r>
      <w:r w:rsidR="00BB54F1" w:rsidRPr="002F7079">
        <w:rPr>
          <w:rFonts w:cstheme="minorHAnsi"/>
          <w:noProof/>
        </w:rPr>
        <w:t xml:space="preserve"> que a técnica </w:t>
      </w:r>
      <w:r w:rsidR="00114E37" w:rsidRPr="002F7079">
        <w:rPr>
          <w:rFonts w:cstheme="minorHAnsi"/>
          <w:noProof/>
        </w:rPr>
        <w:t>a utilizar</w:t>
      </w:r>
      <w:r w:rsidR="00BB54F1" w:rsidRPr="002F7079">
        <w:rPr>
          <w:rFonts w:cstheme="minorHAnsi"/>
          <w:noProof/>
        </w:rPr>
        <w:t xml:space="preserve"> deve ser </w:t>
      </w:r>
      <w:r w:rsidR="00114E37" w:rsidRPr="002F7079">
        <w:rPr>
          <w:rFonts w:cstheme="minorHAnsi"/>
          <w:noProof/>
        </w:rPr>
        <w:t>considerada</w:t>
      </w:r>
      <w:r w:rsidR="00BB54F1" w:rsidRPr="002F7079">
        <w:rPr>
          <w:rFonts w:cstheme="minorHAnsi"/>
          <w:noProof/>
        </w:rPr>
        <w:t>, uma vez que os doentes em Hemodiálise apresentam um risco maior</w:t>
      </w:r>
      <w:r w:rsidR="00C30AAD" w:rsidRPr="002F7079">
        <w:rPr>
          <w:rFonts w:cstheme="minorHAnsi"/>
          <w:noProof/>
        </w:rPr>
        <w:t xml:space="preserve"> de bacteriémia e disseminação hematog</w:t>
      </w:r>
      <w:r w:rsidR="00DA0F48" w:rsidRPr="002F7079">
        <w:rPr>
          <w:rFonts w:cstheme="minorHAnsi"/>
          <w:noProof/>
        </w:rPr>
        <w:t>é</w:t>
      </w:r>
      <w:r w:rsidR="00C30AAD" w:rsidRPr="002F7079">
        <w:rPr>
          <w:rFonts w:cstheme="minorHAnsi"/>
          <w:noProof/>
        </w:rPr>
        <w:t>nica</w:t>
      </w:r>
      <w:r w:rsidR="00BB54F1" w:rsidRPr="002F7079">
        <w:rPr>
          <w:rFonts w:cstheme="minorHAnsi"/>
          <w:noProof/>
        </w:rPr>
        <w:t>,</w:t>
      </w:r>
      <w:r w:rsidR="00C30AAD" w:rsidRPr="002F7079">
        <w:rPr>
          <w:rFonts w:cstheme="minorHAnsi"/>
          <w:noProof/>
        </w:rPr>
        <w:t xml:space="preserve"> devido ao tipo de acesso vascular,</w:t>
      </w:r>
      <w:r w:rsidR="00BB54F1" w:rsidRPr="002F7079">
        <w:rPr>
          <w:rFonts w:cstheme="minorHAnsi"/>
          <w:noProof/>
        </w:rPr>
        <w:t xml:space="preserve"> comparado com aqueles em Diálise Peritoneal</w:t>
      </w:r>
      <w:r w:rsidR="00C30AAD" w:rsidRPr="002F7079">
        <w:rPr>
          <w:rFonts w:cstheme="minorHAnsi"/>
          <w:noProof/>
        </w:rPr>
        <w:t>.</w:t>
      </w:r>
      <w:r w:rsidR="00BB54F1" w:rsidRPr="002F7079">
        <w:rPr>
          <w:rFonts w:cstheme="minorHAnsi"/>
          <w:noProof/>
        </w:rPr>
        <w:t xml:space="preserve"> Na literatura autores, como Bozic et al. (201</w:t>
      </w:r>
      <w:r w:rsidR="00A14DBD" w:rsidRPr="002F7079">
        <w:rPr>
          <w:rFonts w:cstheme="minorHAnsi"/>
          <w:noProof/>
        </w:rPr>
        <w:t>2</w:t>
      </w:r>
      <w:r w:rsidR="00BB54F1" w:rsidRPr="002F7079">
        <w:rPr>
          <w:rFonts w:cstheme="minorHAnsi"/>
          <w:noProof/>
        </w:rPr>
        <w:t xml:space="preserve">) reconhecem a Insuficiência Renal como fator de risco de ILC, no entanto a distinção da técnica utilizada, não é abordada. </w:t>
      </w:r>
    </w:p>
    <w:p w14:paraId="0612EC81" w14:textId="741E26DC" w:rsidR="00BB54F1" w:rsidRPr="002F7079" w:rsidRDefault="00DF09E4" w:rsidP="002F7079">
      <w:pPr>
        <w:spacing w:after="0" w:line="360" w:lineRule="auto"/>
        <w:ind w:left="-170" w:right="-170"/>
        <w:jc w:val="both"/>
        <w:rPr>
          <w:rFonts w:cstheme="minorHAnsi"/>
          <w:noProof/>
        </w:rPr>
      </w:pPr>
      <w:r w:rsidRPr="002F7079">
        <w:rPr>
          <w:rFonts w:cstheme="minorHAnsi"/>
        </w:rPr>
        <w:t xml:space="preserve">Embora se admita a associação do fator de risco </w:t>
      </w:r>
      <w:r w:rsidR="00BB54F1" w:rsidRPr="002F7079">
        <w:rPr>
          <w:rFonts w:cstheme="minorHAnsi"/>
        </w:rPr>
        <w:t xml:space="preserve">Diabetes </w:t>
      </w:r>
      <w:proofErr w:type="spellStart"/>
      <w:r w:rsidR="00BB54F1" w:rsidRPr="002F7079">
        <w:rPr>
          <w:rFonts w:cstheme="minorHAnsi"/>
          <w:i/>
          <w:iCs/>
        </w:rPr>
        <w:t>Mellitus</w:t>
      </w:r>
      <w:proofErr w:type="spellEnd"/>
      <w:r w:rsidR="00BB54F1" w:rsidRPr="002F7079">
        <w:rPr>
          <w:rFonts w:cstheme="minorHAnsi"/>
        </w:rPr>
        <w:t xml:space="preserve">, </w:t>
      </w:r>
      <w:r w:rsidRPr="002F7079">
        <w:rPr>
          <w:rFonts w:cstheme="minorHAnsi"/>
        </w:rPr>
        <w:t xml:space="preserve">os estudos </w:t>
      </w:r>
      <w:r w:rsidR="00BB54F1" w:rsidRPr="002F7079">
        <w:rPr>
          <w:rFonts w:cstheme="minorHAnsi"/>
        </w:rPr>
        <w:t>não apresentam uma explicação</w:t>
      </w:r>
      <w:r w:rsidR="00114E37" w:rsidRPr="002F7079">
        <w:rPr>
          <w:rFonts w:cstheme="minorHAnsi"/>
        </w:rPr>
        <w:t xml:space="preserve">, </w:t>
      </w:r>
      <w:r w:rsidR="00ED038F" w:rsidRPr="002F7079">
        <w:rPr>
          <w:rFonts w:cstheme="minorHAnsi"/>
        </w:rPr>
        <w:t>reconhecendo ainda assim</w:t>
      </w:r>
      <w:r w:rsidR="00114E37" w:rsidRPr="002F7079">
        <w:rPr>
          <w:rFonts w:cstheme="minorHAnsi"/>
        </w:rPr>
        <w:t xml:space="preserve"> o seu </w:t>
      </w:r>
      <w:r w:rsidR="00BB54F1" w:rsidRPr="002F7079">
        <w:rPr>
          <w:rFonts w:cstheme="minorHAnsi"/>
        </w:rPr>
        <w:t>impacto na cicatrização do local cirúrgico. Apesar destes autores a considerarem como fator de risco não modificável, uma vez que o doente não deixará de ser diabético, a</w:t>
      </w:r>
      <w:r w:rsidR="00BB54F1" w:rsidRPr="002F7079">
        <w:rPr>
          <w:rFonts w:cstheme="minorHAnsi"/>
          <w:noProof/>
        </w:rPr>
        <w:t xml:space="preserve"> Norma Clínica: 020/2015 de 15 de dezembro "Feixe de Intervenções" para a Prevenção da Infeção do Local Cirúrgico, atualizada a 17 de novembro 2022</w:t>
      </w:r>
      <w:r w:rsidR="008E7A17" w:rsidRPr="002F7079">
        <w:rPr>
          <w:rFonts w:cstheme="minorHAnsi"/>
          <w:noProof/>
        </w:rPr>
        <w:t xml:space="preserve"> da DGS (2022b)</w:t>
      </w:r>
      <w:r w:rsidR="00BB54F1" w:rsidRPr="002F7079">
        <w:rPr>
          <w:rFonts w:cstheme="minorHAnsi"/>
          <w:noProof/>
        </w:rPr>
        <w:t xml:space="preserve">, considera-a um fator de risco modificável, pois é possível intervir através da manutenção da glicemia. Silva et al. (2021), refere que a Diabetes </w:t>
      </w:r>
      <w:r w:rsidR="00BB54F1" w:rsidRPr="002F7079">
        <w:rPr>
          <w:rFonts w:cstheme="minorHAnsi"/>
          <w:i/>
          <w:iCs/>
          <w:noProof/>
        </w:rPr>
        <w:t>Mellitus</w:t>
      </w:r>
      <w:r w:rsidR="00BB54F1" w:rsidRPr="002F7079">
        <w:rPr>
          <w:rFonts w:cstheme="minorHAnsi"/>
          <w:noProof/>
        </w:rPr>
        <w:t xml:space="preserve"> está associada ao aumento da dor e do edema do local, triplicando </w:t>
      </w:r>
      <w:r w:rsidR="00C138E7" w:rsidRPr="002F7079">
        <w:rPr>
          <w:rFonts w:cstheme="minorHAnsi"/>
          <w:noProof/>
        </w:rPr>
        <w:t>esse risco</w:t>
      </w:r>
      <w:r w:rsidR="00BB54F1" w:rsidRPr="002F7079">
        <w:rPr>
          <w:rFonts w:cstheme="minorHAnsi"/>
          <w:noProof/>
        </w:rPr>
        <w:t xml:space="preserve">, </w:t>
      </w:r>
      <w:r w:rsidR="00C138E7" w:rsidRPr="002F7079">
        <w:rPr>
          <w:rFonts w:cstheme="minorHAnsi"/>
          <w:noProof/>
        </w:rPr>
        <w:t>especialmente</w:t>
      </w:r>
      <w:r w:rsidR="00BB54F1" w:rsidRPr="002F7079">
        <w:rPr>
          <w:rFonts w:cstheme="minorHAnsi"/>
          <w:noProof/>
        </w:rPr>
        <w:t xml:space="preserve"> em cirurgias ortopédicas. Já Ji et al. (2019) e </w:t>
      </w:r>
      <w:r w:rsidR="00AE045E" w:rsidRPr="002F7079">
        <w:rPr>
          <w:rFonts w:cstheme="minorHAnsi"/>
          <w:noProof/>
        </w:rPr>
        <w:t>Yang et al.</w:t>
      </w:r>
      <w:r w:rsidR="00BB54F1" w:rsidRPr="002F7079">
        <w:rPr>
          <w:rFonts w:cstheme="minorHAnsi"/>
          <w:noProof/>
        </w:rPr>
        <w:t xml:space="preserve">(2020) referem que tanto a Diabetes </w:t>
      </w:r>
      <w:r w:rsidR="00BB54F1" w:rsidRPr="002F7079">
        <w:rPr>
          <w:rFonts w:cstheme="minorHAnsi"/>
          <w:i/>
          <w:iCs/>
          <w:noProof/>
        </w:rPr>
        <w:t>Mellitus</w:t>
      </w:r>
      <w:r w:rsidR="00BB54F1" w:rsidRPr="002F7079">
        <w:rPr>
          <w:rFonts w:cstheme="minorHAnsi"/>
          <w:noProof/>
        </w:rPr>
        <w:t xml:space="preserve">, como a </w:t>
      </w:r>
      <w:r w:rsidR="008910D0" w:rsidRPr="002F7079">
        <w:rPr>
          <w:rFonts w:cstheme="minorHAnsi"/>
          <w:noProof/>
        </w:rPr>
        <w:t>Hipertensão Arterial (</w:t>
      </w:r>
      <w:r w:rsidR="00BB54F1" w:rsidRPr="002F7079">
        <w:rPr>
          <w:rFonts w:cstheme="minorHAnsi"/>
          <w:noProof/>
        </w:rPr>
        <w:t>HTA</w:t>
      </w:r>
      <w:r w:rsidR="008910D0" w:rsidRPr="002F7079">
        <w:rPr>
          <w:rFonts w:cstheme="minorHAnsi"/>
          <w:noProof/>
        </w:rPr>
        <w:t>)</w:t>
      </w:r>
      <w:r w:rsidRPr="002F7079">
        <w:rPr>
          <w:rFonts w:cstheme="minorHAnsi"/>
          <w:noProof/>
        </w:rPr>
        <w:t xml:space="preserve">, </w:t>
      </w:r>
      <w:r w:rsidR="00BB54F1" w:rsidRPr="002F7079">
        <w:rPr>
          <w:rFonts w:cstheme="minorHAnsi"/>
          <w:noProof/>
        </w:rPr>
        <w:t>estão relacionadas ao risco de ILC</w:t>
      </w:r>
      <w:r w:rsidR="00314580" w:rsidRPr="002F7079">
        <w:rPr>
          <w:rFonts w:cstheme="minorHAnsi"/>
          <w:noProof/>
        </w:rPr>
        <w:t xml:space="preserve"> devido </w:t>
      </w:r>
      <w:r w:rsidR="00B55928" w:rsidRPr="002F7079">
        <w:rPr>
          <w:rFonts w:cstheme="minorHAnsi"/>
          <w:noProof/>
        </w:rPr>
        <w:t>às</w:t>
      </w:r>
      <w:r w:rsidR="00BB54F1" w:rsidRPr="002F7079">
        <w:rPr>
          <w:rFonts w:cstheme="minorHAnsi"/>
          <w:noProof/>
        </w:rPr>
        <w:t xml:space="preserve"> alterações no processo de vascularização, na sensibilidade e </w:t>
      </w:r>
      <w:r w:rsidR="00B55928" w:rsidRPr="002F7079">
        <w:rPr>
          <w:rFonts w:cstheme="minorHAnsi"/>
          <w:noProof/>
        </w:rPr>
        <w:t>n</w:t>
      </w:r>
      <w:r w:rsidR="00BB54F1" w:rsidRPr="002F7079">
        <w:rPr>
          <w:rFonts w:cstheme="minorHAnsi"/>
          <w:noProof/>
        </w:rPr>
        <w:t xml:space="preserve">o descontrolo glicémico </w:t>
      </w:r>
      <w:r w:rsidR="00B55928" w:rsidRPr="002F7079">
        <w:rPr>
          <w:rFonts w:cstheme="minorHAnsi"/>
          <w:noProof/>
        </w:rPr>
        <w:t xml:space="preserve">que </w:t>
      </w:r>
      <w:r w:rsidR="00BB54F1" w:rsidRPr="002F7079">
        <w:rPr>
          <w:rFonts w:cstheme="minorHAnsi"/>
          <w:noProof/>
        </w:rPr>
        <w:t>inibem o processo de cicatrização, prejudicando a função imunológica</w:t>
      </w:r>
      <w:r w:rsidR="00B55928" w:rsidRPr="002F7079">
        <w:rPr>
          <w:rFonts w:cstheme="minorHAnsi"/>
          <w:noProof/>
        </w:rPr>
        <w:t>,</w:t>
      </w:r>
      <w:r w:rsidR="00BB54F1" w:rsidRPr="002F7079">
        <w:rPr>
          <w:rFonts w:cstheme="minorHAnsi"/>
          <w:noProof/>
        </w:rPr>
        <w:t xml:space="preserve"> </w:t>
      </w:r>
      <w:r w:rsidR="00B91A3F" w:rsidRPr="002F7079">
        <w:rPr>
          <w:rFonts w:cstheme="minorHAnsi"/>
          <w:noProof/>
        </w:rPr>
        <w:t>dando origem</w:t>
      </w:r>
      <w:r w:rsidR="00BB54F1" w:rsidRPr="002F7079">
        <w:rPr>
          <w:rFonts w:cstheme="minorHAnsi"/>
          <w:noProof/>
        </w:rPr>
        <w:t xml:space="preserve"> a infeções (Júnior et al., 2021).</w:t>
      </w:r>
    </w:p>
    <w:p w14:paraId="1F07B50E" w14:textId="4EE2A91C" w:rsidR="00BB54F1" w:rsidRPr="002F7079" w:rsidRDefault="009466EE" w:rsidP="002F7079">
      <w:pPr>
        <w:spacing w:after="0" w:line="360" w:lineRule="auto"/>
        <w:ind w:left="-170" w:right="-170"/>
        <w:jc w:val="both"/>
        <w:rPr>
          <w:rFonts w:cstheme="minorHAnsi"/>
          <w:noProof/>
        </w:rPr>
      </w:pPr>
      <w:r w:rsidRPr="002F7079">
        <w:rPr>
          <w:rFonts w:cstheme="minorHAnsi"/>
          <w:noProof/>
        </w:rPr>
        <w:t>F</w:t>
      </w:r>
      <w:r w:rsidR="00BB54F1" w:rsidRPr="002F7079">
        <w:rPr>
          <w:rFonts w:cstheme="minorHAnsi"/>
          <w:noProof/>
        </w:rPr>
        <w:t xml:space="preserve">ernandes (2022) contrariamente ao presente estudo, considera que as comorbilidades referidas não têm significado estatístico, uma vez que </w:t>
      </w:r>
      <w:r w:rsidR="0040409E" w:rsidRPr="002F7079">
        <w:rPr>
          <w:rFonts w:cstheme="minorHAnsi"/>
          <w:noProof/>
        </w:rPr>
        <w:t xml:space="preserve">os </w:t>
      </w:r>
      <w:r w:rsidR="00BB54F1" w:rsidRPr="002F7079">
        <w:rPr>
          <w:rFonts w:cstheme="minorHAnsi"/>
          <w:noProof/>
        </w:rPr>
        <w:t xml:space="preserve">doentes são </w:t>
      </w:r>
      <w:r w:rsidR="00BB54F1" w:rsidRPr="002F7079">
        <w:rPr>
          <w:rFonts w:cstheme="minorHAnsi"/>
          <w:noProof/>
        </w:rPr>
        <w:t>acompanhados previamente através de consultas regulares, mantendo controladas estas patologias</w:t>
      </w:r>
      <w:r w:rsidR="00C138E7" w:rsidRPr="002F7079">
        <w:rPr>
          <w:rFonts w:cstheme="minorHAnsi"/>
          <w:noProof/>
        </w:rPr>
        <w:t>, minimizando</w:t>
      </w:r>
      <w:r w:rsidR="00BB54F1" w:rsidRPr="002F7079">
        <w:rPr>
          <w:rFonts w:cstheme="minorHAnsi"/>
          <w:noProof/>
        </w:rPr>
        <w:t xml:space="preserve"> as </w:t>
      </w:r>
      <w:r w:rsidR="00C138E7" w:rsidRPr="002F7079">
        <w:rPr>
          <w:rFonts w:cstheme="minorHAnsi"/>
          <w:noProof/>
        </w:rPr>
        <w:t xml:space="preserve">possíveis </w:t>
      </w:r>
      <w:r w:rsidR="00BB54F1" w:rsidRPr="002F7079">
        <w:rPr>
          <w:rFonts w:cstheme="minorHAnsi"/>
          <w:noProof/>
        </w:rPr>
        <w:t xml:space="preserve">complicações </w:t>
      </w:r>
      <w:r w:rsidRPr="002F7079">
        <w:rPr>
          <w:rFonts w:cstheme="minorHAnsi"/>
          <w:noProof/>
        </w:rPr>
        <w:t>futuras</w:t>
      </w:r>
      <w:r w:rsidR="00C138E7" w:rsidRPr="002F7079">
        <w:rPr>
          <w:rFonts w:cstheme="minorHAnsi"/>
          <w:noProof/>
        </w:rPr>
        <w:t xml:space="preserve">. </w:t>
      </w:r>
      <w:r w:rsidR="00BB54F1" w:rsidRPr="002F7079">
        <w:rPr>
          <w:rFonts w:cstheme="minorHAnsi"/>
          <w:noProof/>
        </w:rPr>
        <w:t>Para aumentar a segurança cirúrgica, deve reforçar-se a necessidade de um acompanhamento rigoroso dos doentes com estes antecedentes clínicos (Silva et al., 2021).</w:t>
      </w:r>
    </w:p>
    <w:p w14:paraId="05B9A9AA" w14:textId="3DE721ED" w:rsidR="00BB54F1" w:rsidRPr="002F7079" w:rsidRDefault="009466EE" w:rsidP="002F7079">
      <w:pPr>
        <w:spacing w:after="0" w:line="360" w:lineRule="auto"/>
        <w:ind w:left="-170" w:right="-170"/>
        <w:jc w:val="both"/>
        <w:rPr>
          <w:rFonts w:cstheme="minorHAnsi"/>
          <w:noProof/>
        </w:rPr>
      </w:pPr>
      <w:r w:rsidRPr="002F7079">
        <w:rPr>
          <w:rFonts w:cstheme="minorHAnsi"/>
          <w:noProof/>
        </w:rPr>
        <w:t>As complicações decorrentes da</w:t>
      </w:r>
      <w:r w:rsidR="00BB54F1" w:rsidRPr="002F7079">
        <w:rPr>
          <w:rFonts w:cstheme="minorHAnsi"/>
          <w:noProof/>
        </w:rPr>
        <w:t xml:space="preserve"> Artrite Reumatóide </w:t>
      </w:r>
      <w:r w:rsidRPr="002F7079">
        <w:rPr>
          <w:rFonts w:cstheme="minorHAnsi"/>
          <w:noProof/>
        </w:rPr>
        <w:t>foram</w:t>
      </w:r>
      <w:r w:rsidR="00BB54F1" w:rsidRPr="002F7079">
        <w:rPr>
          <w:rFonts w:cstheme="minorHAnsi"/>
          <w:noProof/>
        </w:rPr>
        <w:t xml:space="preserve"> </w:t>
      </w:r>
      <w:r w:rsidR="00C138E7" w:rsidRPr="002F7079">
        <w:rPr>
          <w:rFonts w:cstheme="minorHAnsi"/>
          <w:noProof/>
        </w:rPr>
        <w:t xml:space="preserve">também </w:t>
      </w:r>
      <w:r w:rsidR="00DF09E4" w:rsidRPr="002F7079">
        <w:rPr>
          <w:rFonts w:cstheme="minorHAnsi"/>
          <w:noProof/>
        </w:rPr>
        <w:t>identificadas como</w:t>
      </w:r>
      <w:r w:rsidR="005139BB" w:rsidRPr="002F7079">
        <w:rPr>
          <w:rFonts w:cstheme="minorHAnsi"/>
          <w:noProof/>
        </w:rPr>
        <w:t xml:space="preserve"> estando</w:t>
      </w:r>
      <w:r w:rsidR="00BB54F1" w:rsidRPr="002F7079">
        <w:rPr>
          <w:rFonts w:cstheme="minorHAnsi"/>
          <w:noProof/>
        </w:rPr>
        <w:t xml:space="preserve"> associada</w:t>
      </w:r>
      <w:r w:rsidR="005139BB" w:rsidRPr="002F7079">
        <w:rPr>
          <w:rFonts w:cstheme="minorHAnsi"/>
          <w:noProof/>
        </w:rPr>
        <w:t>s</w:t>
      </w:r>
      <w:r w:rsidR="00BB54F1" w:rsidRPr="002F7079">
        <w:rPr>
          <w:rFonts w:cstheme="minorHAnsi"/>
          <w:noProof/>
        </w:rPr>
        <w:t xml:space="preserve"> a ILC, devido à Imunossupressão, Corticoterapia e Nutrição Deficiente. Também estes considerados como fatores de risco e que interligados poderão estar na base do aparecimento de HTA e Diabetes </w:t>
      </w:r>
      <w:r w:rsidR="00BB54F1" w:rsidRPr="002F7079">
        <w:rPr>
          <w:rFonts w:cstheme="minorHAnsi"/>
          <w:i/>
          <w:iCs/>
          <w:noProof/>
        </w:rPr>
        <w:t>Mellitus</w:t>
      </w:r>
      <w:r w:rsidR="00BB54F1" w:rsidRPr="002F7079">
        <w:rPr>
          <w:rFonts w:cstheme="minorHAnsi"/>
          <w:noProof/>
        </w:rPr>
        <w:t>. Esta evidência é também apoiada por Ji et al. (2019), considerando-os como fatores de risco que se associam.</w:t>
      </w:r>
    </w:p>
    <w:p w14:paraId="499D1FEF" w14:textId="2C86556D" w:rsidR="00BB54F1" w:rsidRPr="002F7079" w:rsidRDefault="009466EE" w:rsidP="002F7079">
      <w:pPr>
        <w:spacing w:after="0" w:line="360" w:lineRule="auto"/>
        <w:ind w:left="-170" w:right="-170"/>
        <w:jc w:val="both"/>
        <w:rPr>
          <w:rFonts w:cstheme="minorHAnsi"/>
          <w:noProof/>
        </w:rPr>
      </w:pPr>
      <w:r w:rsidRPr="002F7079">
        <w:rPr>
          <w:rFonts w:cstheme="minorHAnsi"/>
          <w:noProof/>
        </w:rPr>
        <w:t>Os</w:t>
      </w:r>
      <w:r w:rsidR="00BB54F1" w:rsidRPr="002F7079">
        <w:rPr>
          <w:rFonts w:cstheme="minorHAnsi"/>
          <w:noProof/>
        </w:rPr>
        <w:t xml:space="preserve"> elevados níveis de dor pré-operatória e baixo limiares de dor estão relacionados com a Sensibilização Central</w:t>
      </w:r>
      <w:r w:rsidRPr="002F7079">
        <w:rPr>
          <w:rFonts w:cstheme="minorHAnsi"/>
          <w:noProof/>
        </w:rPr>
        <w:t xml:space="preserve"> </w:t>
      </w:r>
      <w:r w:rsidR="00BB54F1" w:rsidRPr="002F7079">
        <w:rPr>
          <w:rFonts w:cstheme="minorHAnsi"/>
          <w:noProof/>
        </w:rPr>
        <w:t>e a intensidade da dor pré e pós-operatória, tendo esta impacto na velocidade de cicatrização de feridas (Kong et al., 2016; Latremoliere &amp; Woolf, 2009).</w:t>
      </w:r>
      <w:r w:rsidRPr="002F7079">
        <w:rPr>
          <w:rFonts w:cstheme="minorHAnsi"/>
          <w:noProof/>
        </w:rPr>
        <w:t xml:space="preserve"> </w:t>
      </w:r>
      <w:r w:rsidR="00BB54F1" w:rsidRPr="002F7079">
        <w:rPr>
          <w:rFonts w:cstheme="minorHAnsi"/>
          <w:noProof/>
        </w:rPr>
        <w:t>É recomendado a consciencialização destes doentes para o aumento do risco de ILC, assim como a necessidade de otimimização do manuseamento intra-operatório dos tecidos moles e da ferida no pós-operatório.</w:t>
      </w:r>
    </w:p>
    <w:p w14:paraId="266D4A6A" w14:textId="7BBAADAC" w:rsidR="005D742C" w:rsidRPr="002F7079" w:rsidRDefault="00DF09E4" w:rsidP="002F7079">
      <w:pPr>
        <w:spacing w:after="0" w:line="360" w:lineRule="auto"/>
        <w:ind w:left="-170" w:right="-170"/>
        <w:jc w:val="both"/>
        <w:rPr>
          <w:rFonts w:cstheme="minorHAnsi"/>
        </w:rPr>
      </w:pPr>
      <w:r w:rsidRPr="002F7079">
        <w:rPr>
          <w:rFonts w:cs="Calibri"/>
        </w:rPr>
        <w:t>A nível analítico</w:t>
      </w:r>
      <w:r w:rsidR="005D742C" w:rsidRPr="002F7079">
        <w:rPr>
          <w:rFonts w:cstheme="minorHAnsi"/>
        </w:rPr>
        <w:t xml:space="preserve"> </w:t>
      </w:r>
      <w:r w:rsidRPr="002F7079">
        <w:rPr>
          <w:rFonts w:cstheme="minorHAnsi"/>
        </w:rPr>
        <w:t xml:space="preserve">surge a </w:t>
      </w:r>
      <w:r w:rsidR="005D742C" w:rsidRPr="002F7079">
        <w:rPr>
          <w:rFonts w:cstheme="minorHAnsi"/>
        </w:rPr>
        <w:t>Neutrofilia Sérica</w:t>
      </w:r>
      <w:r w:rsidRPr="002F7079">
        <w:rPr>
          <w:rFonts w:cstheme="minorHAnsi"/>
        </w:rPr>
        <w:t xml:space="preserve"> como um fator de risco não modificável, pois</w:t>
      </w:r>
      <w:r w:rsidR="00ED038F" w:rsidRPr="002F7079">
        <w:rPr>
          <w:rFonts w:cstheme="minorHAnsi"/>
        </w:rPr>
        <w:t xml:space="preserve"> está </w:t>
      </w:r>
      <w:r w:rsidR="005D742C" w:rsidRPr="002F7079">
        <w:rPr>
          <w:rFonts w:cstheme="minorHAnsi"/>
        </w:rPr>
        <w:t xml:space="preserve">associada à inflamação aguda. Este marcador pode indicar </w:t>
      </w:r>
      <w:proofErr w:type="spellStart"/>
      <w:r w:rsidR="005D742C" w:rsidRPr="002F7079">
        <w:rPr>
          <w:rFonts w:cstheme="minorHAnsi"/>
        </w:rPr>
        <w:t>subclinicamente</w:t>
      </w:r>
      <w:proofErr w:type="spellEnd"/>
      <w:r w:rsidR="005D742C" w:rsidRPr="002F7079">
        <w:rPr>
          <w:rFonts w:cstheme="minorHAnsi"/>
        </w:rPr>
        <w:t xml:space="preserve"> a presença de infeção, mas </w:t>
      </w:r>
      <w:r w:rsidR="005F79C2" w:rsidRPr="002F7079">
        <w:rPr>
          <w:rFonts w:cstheme="minorHAnsi"/>
        </w:rPr>
        <w:t xml:space="preserve">também </w:t>
      </w:r>
      <w:r w:rsidR="005D742C" w:rsidRPr="002F7079">
        <w:rPr>
          <w:rFonts w:cstheme="minorHAnsi"/>
        </w:rPr>
        <w:t xml:space="preserve">pode estar elevado em outras patologias, </w:t>
      </w:r>
      <w:r w:rsidR="00ED038F" w:rsidRPr="002F7079">
        <w:rPr>
          <w:rFonts w:cstheme="minorHAnsi"/>
        </w:rPr>
        <w:t>tais como</w:t>
      </w:r>
      <w:r w:rsidR="005D742C" w:rsidRPr="002F7079">
        <w:rPr>
          <w:rFonts w:cstheme="minorHAnsi"/>
          <w:i/>
          <w:iCs/>
        </w:rPr>
        <w:t xml:space="preserve"> </w:t>
      </w:r>
      <w:r w:rsidR="005D742C" w:rsidRPr="002F7079">
        <w:rPr>
          <w:rFonts w:cstheme="minorHAnsi"/>
        </w:rPr>
        <w:t>a Artrite Reumatóide, tornando-o não específico. Apesar da importância reconhecida dos marcadores séricos no diagnóstico de infeção, há pouca literatura sobre sua relevância pré-operatória na ILC</w:t>
      </w:r>
      <w:r w:rsidR="0040409E" w:rsidRPr="002F7079">
        <w:rPr>
          <w:rFonts w:cstheme="minorHAnsi"/>
        </w:rPr>
        <w:t>.</w:t>
      </w:r>
    </w:p>
    <w:p w14:paraId="098745AF" w14:textId="76DF2987" w:rsidR="00BB54F1" w:rsidRPr="002F7079" w:rsidRDefault="00B05433" w:rsidP="002F7079">
      <w:pPr>
        <w:spacing w:after="0" w:line="360" w:lineRule="auto"/>
        <w:ind w:left="-170" w:right="-170"/>
        <w:jc w:val="both"/>
        <w:rPr>
          <w:rFonts w:cstheme="minorHAnsi"/>
          <w:noProof/>
        </w:rPr>
      </w:pPr>
      <w:r w:rsidRPr="002F7079">
        <w:rPr>
          <w:rFonts w:cstheme="minorHAnsi"/>
          <w:noProof/>
        </w:rPr>
        <w:lastRenderedPageBreak/>
        <w:t>O</w:t>
      </w:r>
      <w:r w:rsidR="00BB54F1" w:rsidRPr="002F7079">
        <w:rPr>
          <w:rFonts w:cstheme="minorHAnsi"/>
          <w:noProof/>
        </w:rPr>
        <w:t>s Países com Nível Socioeconómico mais baix</w:t>
      </w:r>
      <w:r w:rsidR="005F79C2" w:rsidRPr="002F7079">
        <w:rPr>
          <w:rFonts w:cstheme="minorHAnsi"/>
          <w:noProof/>
        </w:rPr>
        <w:t xml:space="preserve">o </w:t>
      </w:r>
      <w:r w:rsidR="0040409E" w:rsidRPr="002F7079">
        <w:rPr>
          <w:rFonts w:cstheme="minorHAnsi"/>
          <w:noProof/>
        </w:rPr>
        <w:t>são fatores de risco</w:t>
      </w:r>
      <w:r w:rsidR="00C138E7" w:rsidRPr="002F7079">
        <w:rPr>
          <w:rFonts w:cstheme="minorHAnsi"/>
          <w:noProof/>
        </w:rPr>
        <w:t>, devido à</w:t>
      </w:r>
      <w:r w:rsidR="00BB54F1" w:rsidRPr="002F7079">
        <w:rPr>
          <w:rFonts w:cstheme="minorHAnsi"/>
          <w:noProof/>
        </w:rPr>
        <w:t xml:space="preserve"> falta de recursos, </w:t>
      </w:r>
      <w:r w:rsidR="00C138E7" w:rsidRPr="002F7079">
        <w:rPr>
          <w:rFonts w:cstheme="minorHAnsi"/>
          <w:noProof/>
        </w:rPr>
        <w:t>à</w:t>
      </w:r>
      <w:r w:rsidR="00BB54F1" w:rsidRPr="002F7079">
        <w:rPr>
          <w:rFonts w:cstheme="minorHAnsi"/>
          <w:noProof/>
        </w:rPr>
        <w:t xml:space="preserve"> ventilação ineficaz nas salas operatórias e </w:t>
      </w:r>
      <w:r w:rsidR="00C138E7" w:rsidRPr="002F7079">
        <w:rPr>
          <w:rFonts w:cstheme="minorHAnsi"/>
          <w:noProof/>
        </w:rPr>
        <w:t>ao</w:t>
      </w:r>
      <w:r w:rsidR="00BB54F1" w:rsidRPr="002F7079">
        <w:rPr>
          <w:rFonts w:cstheme="minorHAnsi"/>
          <w:noProof/>
        </w:rPr>
        <w:t xml:space="preserve"> défice ou incumprimento das medidas de prevenção e controle de infeção </w:t>
      </w:r>
      <w:r w:rsidR="00BB54F1" w:rsidRPr="002F7079">
        <w:rPr>
          <w:rFonts w:cstheme="minorHAnsi"/>
        </w:rPr>
        <w:fldChar w:fldCharType="begin"/>
      </w:r>
      <w:r w:rsidR="00BB54F1" w:rsidRPr="002F7079">
        <w:rPr>
          <w:rFonts w:cstheme="minorHAnsi"/>
        </w:rPr>
        <w:instrText xml:space="preserve"> ADDIN ZOTERO_ITEM CSL_CITATION {"citationID":"ZoigQ7D0","properties":{"formattedCitation":"(Badge et al., 2021; Surial et al., 2022)","plainCitation":"(Badge et al., 2021; Surial et al., 2022)","noteIndex":0},"citationItems":[{"id":8378,"uris":["http://zotero.org/users/local/9R0Isi0Z/items/I3QQ49IN"],"itemData":{"id":8378,"type":"article-journal","abstract":"BACKGROUND: Total hip and total knee replacement (THR/TKR) are common and effective surgeries to reduce the pain and disability associated with arthritis  but are associated with small but significant risks of preventable complications  such as surgical site infection (SSI) and venous-thrombo-embolism (VTE). This  study aims to determine the degree to which hospital care was compliant with  clinical guidelines for the prevention of SSI and VTE after THR/TKR; and whether  non-compliant prophylaxis is associated with increased risk of complications.  METHODS AND FINDINGS: A prospective multi-centre cohort study was undertaken in  consenting adults with osteoarthritis undergoing elective primary TKR/THR at one  of 19 high-volume Australian public or private hospitals. Data were collected  prior to surgery and for one-year post-surgery. Four adjusted logistic regression  analyses were undertaken to explore associations between binary non-compliance  and the risk of surgical complications: (1) composite (simultaneous)  non-compliance with both (VTE and antibiotic) guidelines and composite  complications [all-cause mortality, VTE, readmission/reoperation for  joint-related reasons (one-year) and non-joint-related reasons (35-days)], (2)  VTE non-compliance and VTE outcomes, (3) antibiotic non-compliance and any SSI,  and (4) antibiotic non-compliance and deep SSI. Data were analysed for 1875  participants. Guideline non-compliance rates were high: 65% (VTE), 87%  (antibiotics) and 95% (composite guideline). Composite non-compliance was not  associated with composite complication (12.8% vs 8.3%, adjusted odds ratio [AOR]  = 1.41, 95%CI 0.68-3.45, p = 0.40). Non-compliance with VTE guidelines was  associated with VTE outcomes (5% vs 2.4%, AOR = 2.83, 95%CI 1.59-5.28,p &lt; 0.001).  Non-compliance with antibiotic guidelines was associated with any SSI (14.8% vs  6.1%, AOR = 1.98, 95%CI 1.17-3.62,p = 0.02) but not deep infection (3.7% vs  1.2%,AOR = 2.39, 95%CI 0.85-10.00, p = 0.15). CONCLUSIONS: We found high rates of  clinical variation and statistically significant associations between  non-compliance with VTE and antibiotic guidelines and increased risk of VTE and  SSI, respectively. Complications after THR/TKR surgery may be decreased by  improving compliance with clinical guidelines.","container-title":"PloS one","DOI":"10.1371/journal.pone.0260146","ISSN":"1932-6203","issue":"11","journalAbbreviation":"PLoS One","language":"eng","note":"number: 11\npublisher-place: United States\nPMID: 34793555 \nPMCID: PMC8601457","page":"e0260146","title":"Non-compliance with clinical guidelines increases the risk of complications after primary total hip and knee joint replacement surgery.","volume":"16","author":[{"family":"Badge","given":"Helen Mary"},{"family":"Churches","given":"Tim"},{"family":"Naylor","given":"Justine M."},{"family":"Xuan","given":"Wei"},{"family":"Armstrong","given":"Elizabeth"},{"family":"Gray","given":"Leeanne"},{"family":"Fletcher","given":"John"},{"family":"Gosbell","given":"Iain"},{"family":"Lin","given":"Christine"},{"family":"Harris","given":"Ian A."}],"issued":{"date-parts":[["2021"]]}}},{"id":8071,"uris":["http://zotero.org/users/local/9R0Isi0Z/items/D6HZEKDY"],"itemData":{"id":8071,"type":"article-journal","abstract":"OBJECTIVE: The aim was to assess the impact of operating room (OR) ventilation quality on surgical site infections (SSIs) using a novel ventilation index.  BACKGROUND: Previous studies compared laminar air flow with conventional  ventilation, thereby ignoring many parameters that influence air flow properties.  METHODS: In this cohort study, we surveyed hospitals participating in the Swiss  SSI surveillance and calculated a ventilation index for their ORs, with higher  values reflecting less turbulent air displacement. For procedures captured  between January 2017 and December 2019, we studied the association between  ventilation index and SSI rates using linear regression (hospital-level analysis)  and with the individual SSI risk using generalized linear mixed-effects models  (patient-level analysis). RESULTS: We included 47 hospitals (182 ORs). Among the  163,740 included procedures, 6791 SSIs were identified. In hospital-level  analyses, a 5-unit increase in the ventilation index was associated with lower  SSI rates for knee and hip arthroplasty (-0.41 infections per 100 procedures, 95%  confidence interval: -0.69 to -0.13), cardiac (-0.89, -1.91 to 0.12), and spine  surgeries (-1.15, -2.56 to 0.26). Similarly, patient-level analyses showed a  lower SSI risk with each 5-unit increase in ventilation index (adjusted odds  ratio 0.71, confidence interval: 0.58-0.87 for knee and hip; 0.72, 0.49-1.06 for  spine; 0.82, 0.69-0.98 for cardiac surgery). Higher index values were mainly  associated with a lower risk for superficial and deep incisional SSIs.  CONCLUSIONS: Better ventilation properties, assessed with our ventilation index,  are associated with lower rates of superficial and deep incisional SSIs in  orthopedic and cardiac procedures. OR ventilation quality appeared to be less  relevant for other surgery types.","container-title":"Annals of surgery","DOI":"10.1097/SLA.0000000000005670","ISSN":"1528-1140 0003-4932","issue":"5","journalAbbreviation":"Ann Surg","language":"eng","license":"Copyright © 2022 The Author(s). Published by Wolters Kluwer Health, Inc.","note":"number: 5\npublisher-place: United States\nPMID: 35946824 \nPMCID: PMC9534050","page":"e353-e360","title":"Better Operating Room Ventilation as Determined by a Novel Ventilation Index is Associated With Lower Rates of Surgical Site Infections.","volume":"276","author":[{"family":"Surial","given":"Bernard"},{"family":"Atkinson","given":"Andrew"},{"family":"Külpmann","given":"Rüdiger"},{"family":"Brunner","given":"Arnold"},{"family":"Hildebrand","given":"Kurt"},{"family":"Sicre","given":"Benoît"},{"family":"Troillet","given":"Nicolas"},{"family":"Widmer","given":"Andreas"},{"family":"Rolli","given":"Eveline"},{"family":"Maag","given":"Judith"},{"family":"Marschall","given":"Jonas"}],"issued":{"date-parts":[["2022",11,1]]}}}],"schema":"https://github.com/citation-style-language/schema/raw/master/csl-citation.json"} </w:instrText>
      </w:r>
      <w:r w:rsidR="00BB54F1" w:rsidRPr="002F7079">
        <w:rPr>
          <w:rFonts w:cstheme="minorHAnsi"/>
        </w:rPr>
        <w:fldChar w:fldCharType="separate"/>
      </w:r>
      <w:r w:rsidR="00BB54F1" w:rsidRPr="002F7079">
        <w:rPr>
          <w:rFonts w:cstheme="minorHAnsi"/>
        </w:rPr>
        <w:t>(Badge et al., 2021; Surial et al., 2022)</w:t>
      </w:r>
      <w:r w:rsidR="00BB54F1" w:rsidRPr="002F7079">
        <w:rPr>
          <w:rFonts w:cstheme="minorHAnsi"/>
        </w:rPr>
        <w:fldChar w:fldCharType="end"/>
      </w:r>
      <w:r w:rsidR="00BB54F1" w:rsidRPr="002F7079">
        <w:rPr>
          <w:rFonts w:cstheme="minorHAnsi"/>
        </w:rPr>
        <w:t>.</w:t>
      </w:r>
    </w:p>
    <w:p w14:paraId="2588F117" w14:textId="5C5328AE" w:rsidR="00BB54F1" w:rsidRPr="002F7079" w:rsidRDefault="005F79C2" w:rsidP="002F7079">
      <w:pPr>
        <w:spacing w:after="0" w:line="360" w:lineRule="auto"/>
        <w:ind w:left="-170" w:right="-170"/>
        <w:jc w:val="both"/>
        <w:rPr>
          <w:rFonts w:cstheme="minorHAnsi"/>
          <w:noProof/>
        </w:rPr>
      </w:pPr>
      <w:r w:rsidRPr="002F7079">
        <w:rPr>
          <w:rFonts w:cstheme="minorHAnsi"/>
        </w:rPr>
        <w:t xml:space="preserve">Em relação aos fatores de risco modificáveis (Tabela </w:t>
      </w:r>
      <w:r w:rsidR="00903AE3" w:rsidRPr="002F7079">
        <w:rPr>
          <w:rFonts w:cstheme="minorHAnsi"/>
        </w:rPr>
        <w:t>3</w:t>
      </w:r>
      <w:r w:rsidRPr="002F7079">
        <w:rPr>
          <w:rFonts w:cstheme="minorHAnsi"/>
        </w:rPr>
        <w:t xml:space="preserve">) é realçada a </w:t>
      </w:r>
      <w:r w:rsidR="00ED038F" w:rsidRPr="002F7079">
        <w:rPr>
          <w:rFonts w:cstheme="minorHAnsi"/>
        </w:rPr>
        <w:t>Duração da Cirurgia Prolongada</w:t>
      </w:r>
      <w:r w:rsidRPr="002F7079">
        <w:rPr>
          <w:rFonts w:cstheme="minorHAnsi"/>
        </w:rPr>
        <w:t>.</w:t>
      </w:r>
      <w:r w:rsidR="00BB54F1" w:rsidRPr="002F7079">
        <w:rPr>
          <w:rFonts w:cstheme="minorHAnsi"/>
        </w:rPr>
        <w:t xml:space="preserve"> Apesar de haver consenso em relação a essa temática dentro dos estudos, alguns estabelecem o limite inferior a partir do qual se torna potencialmente problemática sobre o tempo de duração da cirurgia. </w:t>
      </w:r>
      <w:r w:rsidRPr="002F7079">
        <w:rPr>
          <w:rFonts w:cstheme="minorHAnsi"/>
        </w:rPr>
        <w:t xml:space="preserve">Verificou-se que um dos estudos </w:t>
      </w:r>
      <w:r w:rsidR="00BB54F1" w:rsidRPr="002F7079">
        <w:rPr>
          <w:rFonts w:cstheme="minorHAnsi"/>
        </w:rPr>
        <w:t xml:space="preserve">refere-se à duração superior a 90 minutos como fator de risco, enquanto que </w:t>
      </w:r>
      <w:r w:rsidRPr="002F7079">
        <w:rPr>
          <w:rFonts w:cstheme="minorHAnsi"/>
        </w:rPr>
        <w:t xml:space="preserve">outro </w:t>
      </w:r>
      <w:r w:rsidR="00BB54F1" w:rsidRPr="002F7079">
        <w:rPr>
          <w:rFonts w:cstheme="minorHAnsi"/>
        </w:rPr>
        <w:t>considera</w:t>
      </w:r>
      <w:r w:rsidR="00373B40" w:rsidRPr="002F7079">
        <w:rPr>
          <w:rFonts w:cstheme="minorHAnsi"/>
        </w:rPr>
        <w:t>-o</w:t>
      </w:r>
      <w:r w:rsidR="00BB54F1" w:rsidRPr="002F7079">
        <w:rPr>
          <w:rFonts w:cstheme="minorHAnsi"/>
        </w:rPr>
        <w:t xml:space="preserve"> superior a 120 minutos e ainda </w:t>
      </w:r>
      <w:r w:rsidRPr="002F7079">
        <w:rPr>
          <w:rFonts w:cstheme="minorHAnsi"/>
        </w:rPr>
        <w:t>outro</w:t>
      </w:r>
      <w:r w:rsidR="00BB54F1" w:rsidRPr="002F7079">
        <w:rPr>
          <w:rFonts w:cstheme="minorHAnsi"/>
        </w:rPr>
        <w:t xml:space="preserve"> </w:t>
      </w:r>
      <w:r w:rsidR="00105464" w:rsidRPr="002F7079">
        <w:rPr>
          <w:rFonts w:cstheme="minorHAnsi"/>
        </w:rPr>
        <w:t>refere</w:t>
      </w:r>
      <w:r w:rsidR="00373B40" w:rsidRPr="002F7079">
        <w:rPr>
          <w:rFonts w:cstheme="minorHAnsi"/>
        </w:rPr>
        <w:t>-se à</w:t>
      </w:r>
      <w:r w:rsidR="00BB54F1" w:rsidRPr="002F7079">
        <w:rPr>
          <w:rFonts w:cstheme="minorHAnsi"/>
        </w:rPr>
        <w:t xml:space="preserve"> duração superior a 180 minutos. </w:t>
      </w:r>
      <w:r w:rsidR="0040409E" w:rsidRPr="002F7079">
        <w:rPr>
          <w:rFonts w:cstheme="minorHAnsi"/>
        </w:rPr>
        <w:t>Q</w:t>
      </w:r>
      <w:r w:rsidR="00BB54F1" w:rsidRPr="002F7079">
        <w:rPr>
          <w:rFonts w:cstheme="minorHAnsi"/>
        </w:rPr>
        <w:t xml:space="preserve">uanto maior for esse tempo, maior será a exposição do local cirúrgico ao ambiente, </w:t>
      </w:r>
      <w:r w:rsidR="00C138E7" w:rsidRPr="002F7079">
        <w:rPr>
          <w:rFonts w:cstheme="minorHAnsi"/>
        </w:rPr>
        <w:t>aumentando</w:t>
      </w:r>
      <w:r w:rsidR="00BB54F1" w:rsidRPr="002F7079">
        <w:rPr>
          <w:rFonts w:cstheme="minorHAnsi"/>
        </w:rPr>
        <w:t xml:space="preserve"> o risco de infeção </w:t>
      </w:r>
      <w:r w:rsidR="00BB54F1" w:rsidRPr="002F7079">
        <w:rPr>
          <w:rFonts w:cstheme="minorHAnsi"/>
          <w:noProof/>
        </w:rPr>
        <w:t xml:space="preserve">(Carvalho et al., 2017; </w:t>
      </w:r>
      <w:r w:rsidR="00BB54F1" w:rsidRPr="002F7079">
        <w:rPr>
          <w:rFonts w:cstheme="minorHAnsi"/>
          <w:noProof/>
        </w:rPr>
        <w:fldChar w:fldCharType="begin"/>
      </w:r>
      <w:r w:rsidR="00BB54F1" w:rsidRPr="002F7079">
        <w:rPr>
          <w:rFonts w:cstheme="minorHAnsi"/>
          <w:noProof/>
        </w:rPr>
        <w:instrText xml:space="preserve"> ADDIN ZOTERO_ITEM CSL_CITATION {"citationID":"P1jVz09E","properties":{"formattedCitation":"(Oliveira et al., 2023)","plainCitation":"(Oliveira et al., 2023)","dontUpdate":true,"noteIndex":0},"citationItems":[{"id":8825,"uris":["http://zotero.org/users/local/9R0Isi0Z/items/97LMD3NW"],"itemData":{"id":8825,"type":"article-journal","container-title":"Ciência, Cuidado &amp; Saúde","ISSN":"1677-3861","journalAbbreviation":"Ciência, Cuidado &amp; Saúde","note":"publisher: scielorevenf","title":"INFECÇÃO DO SÍTIO CIRÚRGICO EM PACIENTES SUBMETIDOS A CIRURGIAS NEUROLÓGICAS E ORTOPÉDICAS","volume":"22","author":[{"family":"Oliveira","given":"Adriana Cristina","dropping-particle":"de"},{"family":"Pereira","given":"Hoberdan Oliveira"},{"family":"Silva","given":"Júlia Gabriela Machado","dropping-particle":"da"},{"family":"Ferreira","given":"Hadassa Katley Pires"},{"family":"Costa","given":"Débora Munique"},{"family":"Vimieiro","given":"Viviane Lopes"}],"issued":{"date-parts":[["2023"]]}}}],"schema":"https://github.com/citation-style-language/schema/raw/master/csl-citation.json"} </w:instrText>
      </w:r>
      <w:r w:rsidR="00BB54F1" w:rsidRPr="002F7079">
        <w:rPr>
          <w:rFonts w:cstheme="minorHAnsi"/>
          <w:noProof/>
        </w:rPr>
        <w:fldChar w:fldCharType="separate"/>
      </w:r>
      <w:r w:rsidR="00BB54F1" w:rsidRPr="002F7079">
        <w:rPr>
          <w:rFonts w:cstheme="minorHAnsi"/>
        </w:rPr>
        <w:t>Oliveira et al., 2023)</w:t>
      </w:r>
      <w:r w:rsidR="00BB54F1" w:rsidRPr="002F7079">
        <w:rPr>
          <w:rFonts w:cstheme="minorHAnsi"/>
          <w:noProof/>
        </w:rPr>
        <w:fldChar w:fldCharType="end"/>
      </w:r>
      <w:r w:rsidR="00BB54F1" w:rsidRPr="002F7079">
        <w:rPr>
          <w:rFonts w:cstheme="minorHAnsi"/>
          <w:noProof/>
        </w:rPr>
        <w:t>.</w:t>
      </w:r>
      <w:r w:rsidR="00BB54F1" w:rsidRPr="002F7079">
        <w:rPr>
          <w:rFonts w:cstheme="minorHAnsi"/>
        </w:rPr>
        <w:t xml:space="preserve"> Garantir a realização de cirurgias no menor tempo possível é </w:t>
      </w:r>
      <w:r w:rsidR="00C138E7" w:rsidRPr="002F7079">
        <w:rPr>
          <w:rFonts w:cstheme="minorHAnsi"/>
        </w:rPr>
        <w:t>um ponto chave para o combate às infeções</w:t>
      </w:r>
      <w:r w:rsidR="00BB54F1" w:rsidRPr="002F7079">
        <w:rPr>
          <w:rFonts w:cstheme="minorHAnsi"/>
        </w:rPr>
        <w:t xml:space="preserve"> </w:t>
      </w:r>
      <w:r w:rsidR="00BB54F1" w:rsidRPr="002F7079">
        <w:rPr>
          <w:rFonts w:cstheme="minorHAnsi"/>
          <w:noProof/>
        </w:rPr>
        <w:t>(Fernandes, 2022)</w:t>
      </w:r>
      <w:r w:rsidR="00BB54F1" w:rsidRPr="002F7079">
        <w:rPr>
          <w:rFonts w:cstheme="minorHAnsi"/>
        </w:rPr>
        <w:t>.</w:t>
      </w:r>
    </w:p>
    <w:p w14:paraId="1195C0C5" w14:textId="26797872" w:rsidR="00BB54F1" w:rsidRPr="002F7079" w:rsidRDefault="00105464" w:rsidP="002F7079">
      <w:pPr>
        <w:spacing w:after="0" w:line="360" w:lineRule="auto"/>
        <w:ind w:left="-170" w:right="-170"/>
        <w:jc w:val="both"/>
        <w:rPr>
          <w:rFonts w:cstheme="minorHAnsi"/>
          <w:noProof/>
        </w:rPr>
      </w:pPr>
      <w:r w:rsidRPr="002F7079">
        <w:rPr>
          <w:rFonts w:cstheme="minorHAnsi"/>
          <w:noProof/>
        </w:rPr>
        <w:t>O</w:t>
      </w:r>
      <w:r w:rsidR="00BB54F1" w:rsidRPr="002F7079">
        <w:rPr>
          <w:rFonts w:cstheme="minorHAnsi"/>
          <w:noProof/>
        </w:rPr>
        <w:t xml:space="preserve"> Procedimento Bilateral</w:t>
      </w:r>
      <w:r w:rsidRPr="002F7079">
        <w:rPr>
          <w:rFonts w:cstheme="minorHAnsi"/>
          <w:noProof/>
        </w:rPr>
        <w:t xml:space="preserve"> e </w:t>
      </w:r>
      <w:r w:rsidR="00BB54F1" w:rsidRPr="002F7079">
        <w:rPr>
          <w:rFonts w:cstheme="minorHAnsi"/>
          <w:noProof/>
        </w:rPr>
        <w:t xml:space="preserve">de Revisão </w:t>
      </w:r>
      <w:r w:rsidR="00B55928" w:rsidRPr="002F7079">
        <w:rPr>
          <w:rFonts w:cstheme="minorHAnsi"/>
          <w:noProof/>
        </w:rPr>
        <w:t xml:space="preserve">exige </w:t>
      </w:r>
      <w:r w:rsidR="004A365F" w:rsidRPr="002F7079">
        <w:rPr>
          <w:rFonts w:cstheme="minorHAnsi"/>
          <w:noProof/>
        </w:rPr>
        <w:t xml:space="preserve">um </w:t>
      </w:r>
      <w:r w:rsidRPr="002F7079">
        <w:rPr>
          <w:rFonts w:cstheme="minorHAnsi"/>
          <w:noProof/>
        </w:rPr>
        <w:t xml:space="preserve">prolongamento do tempo cirúrgico </w:t>
      </w:r>
      <w:r w:rsidR="00E37802" w:rsidRPr="002F7079">
        <w:rPr>
          <w:rFonts w:cstheme="minorHAnsi"/>
          <w:noProof/>
        </w:rPr>
        <w:t>e</w:t>
      </w:r>
      <w:r w:rsidR="00BB54F1" w:rsidRPr="002F7079">
        <w:rPr>
          <w:rFonts w:cstheme="minorHAnsi"/>
          <w:noProof/>
        </w:rPr>
        <w:t xml:space="preserve"> </w:t>
      </w:r>
      <w:r w:rsidRPr="002F7079">
        <w:rPr>
          <w:rFonts w:cstheme="minorHAnsi"/>
          <w:noProof/>
        </w:rPr>
        <w:t xml:space="preserve">consequente </w:t>
      </w:r>
      <w:r w:rsidR="00BB54F1" w:rsidRPr="002F7079">
        <w:rPr>
          <w:rFonts w:cstheme="minorHAnsi"/>
          <w:noProof/>
        </w:rPr>
        <w:t>Internamento Superior a 35 dias</w:t>
      </w:r>
      <w:r w:rsidR="00CF2791" w:rsidRPr="002F7079">
        <w:rPr>
          <w:rFonts w:cstheme="minorHAnsi"/>
          <w:noProof/>
        </w:rPr>
        <w:t>, aumentando</w:t>
      </w:r>
      <w:r w:rsidR="00E37802" w:rsidRPr="002F7079">
        <w:rPr>
          <w:rFonts w:cstheme="minorHAnsi"/>
          <w:noProof/>
        </w:rPr>
        <w:t xml:space="preserve"> a</w:t>
      </w:r>
      <w:r w:rsidR="00BB54F1" w:rsidRPr="002F7079">
        <w:rPr>
          <w:rFonts w:cstheme="minorHAnsi"/>
          <w:noProof/>
        </w:rPr>
        <w:t xml:space="preserve"> possibilidade de colonização bacteriana hospitalar </w:t>
      </w:r>
      <w:r w:rsidR="00E37802" w:rsidRPr="002F7079">
        <w:rPr>
          <w:rFonts w:cstheme="minorHAnsi"/>
          <w:noProof/>
        </w:rPr>
        <w:t>através de</w:t>
      </w:r>
      <w:r w:rsidR="00BB54F1" w:rsidRPr="002F7079">
        <w:rPr>
          <w:rFonts w:cstheme="minorHAnsi"/>
          <w:noProof/>
        </w:rPr>
        <w:t xml:space="preserve"> infeções nosocomiais</w:t>
      </w:r>
      <w:r w:rsidR="00E37802" w:rsidRPr="002F7079">
        <w:rPr>
          <w:rFonts w:cstheme="minorHAnsi"/>
          <w:noProof/>
        </w:rPr>
        <w:t xml:space="preserve"> oportunistas</w:t>
      </w:r>
      <w:r w:rsidR="00BB54F1" w:rsidRPr="002F7079">
        <w:rPr>
          <w:rFonts w:cstheme="minorHAnsi"/>
          <w:noProof/>
        </w:rPr>
        <w:t xml:space="preserve"> (Silva et al., 2021).</w:t>
      </w:r>
    </w:p>
    <w:p w14:paraId="39110EFF" w14:textId="70207A3D" w:rsidR="00BB54F1" w:rsidRPr="002F7079" w:rsidRDefault="00E37802" w:rsidP="002F7079">
      <w:pPr>
        <w:spacing w:after="0" w:line="360" w:lineRule="auto"/>
        <w:ind w:left="-170" w:right="-170"/>
        <w:jc w:val="both"/>
        <w:rPr>
          <w:rFonts w:cstheme="minorHAnsi"/>
          <w:noProof/>
        </w:rPr>
      </w:pPr>
      <w:r w:rsidRPr="002F7079">
        <w:rPr>
          <w:rFonts w:cstheme="minorHAnsi"/>
          <w:noProof/>
        </w:rPr>
        <w:t>A</w:t>
      </w:r>
      <w:r w:rsidR="00BB54F1" w:rsidRPr="002F7079">
        <w:rPr>
          <w:rFonts w:cstheme="minorHAnsi"/>
          <w:noProof/>
        </w:rPr>
        <w:t xml:space="preserve"> Baixa Qualidade da Ventilação</w:t>
      </w:r>
      <w:r w:rsidRPr="002F7079">
        <w:rPr>
          <w:rFonts w:cstheme="minorHAnsi"/>
          <w:noProof/>
        </w:rPr>
        <w:t xml:space="preserve"> da sala operatória</w:t>
      </w:r>
      <w:r w:rsidR="00BB54F1" w:rsidRPr="002F7079">
        <w:rPr>
          <w:rFonts w:cstheme="minorHAnsi"/>
          <w:noProof/>
        </w:rPr>
        <w:t xml:space="preserve"> </w:t>
      </w:r>
      <w:r w:rsidRPr="002F7079">
        <w:rPr>
          <w:rFonts w:cstheme="minorHAnsi"/>
          <w:noProof/>
        </w:rPr>
        <w:t>é</w:t>
      </w:r>
      <w:r w:rsidR="00BB54F1" w:rsidRPr="002F7079">
        <w:rPr>
          <w:rFonts w:cstheme="minorHAnsi"/>
          <w:noProof/>
        </w:rPr>
        <w:t xml:space="preserve"> fator de risco</w:t>
      </w:r>
      <w:r w:rsidR="005F79C2" w:rsidRPr="002F7079">
        <w:rPr>
          <w:rFonts w:cstheme="minorHAnsi"/>
          <w:noProof/>
        </w:rPr>
        <w:t xml:space="preserve">, </w:t>
      </w:r>
      <w:r w:rsidR="00BB54F1" w:rsidRPr="002F7079">
        <w:rPr>
          <w:rFonts w:cstheme="minorHAnsi"/>
          <w:noProof/>
        </w:rPr>
        <w:t xml:space="preserve">pois a </w:t>
      </w:r>
      <w:r w:rsidR="00105464" w:rsidRPr="002F7079">
        <w:rPr>
          <w:rFonts w:cstheme="minorHAnsi"/>
          <w:noProof/>
        </w:rPr>
        <w:t>presença de</w:t>
      </w:r>
      <w:r w:rsidR="00BB54F1" w:rsidRPr="002F7079">
        <w:rPr>
          <w:rFonts w:cstheme="minorHAnsi"/>
          <w:noProof/>
        </w:rPr>
        <w:t xml:space="preserve"> sistemas de fluxo laminar é </w:t>
      </w:r>
      <w:r w:rsidRPr="002F7079">
        <w:rPr>
          <w:rFonts w:cstheme="minorHAnsi"/>
          <w:noProof/>
        </w:rPr>
        <w:t xml:space="preserve">considerado </w:t>
      </w:r>
      <w:r w:rsidR="00BB54F1" w:rsidRPr="002F7079">
        <w:rPr>
          <w:rFonts w:cstheme="minorHAnsi"/>
          <w:noProof/>
        </w:rPr>
        <w:t>determinante para a redução da contaminação do ar (Knudsen et al., 2021).</w:t>
      </w:r>
    </w:p>
    <w:p w14:paraId="5101804B" w14:textId="0F939155" w:rsidR="00BB54F1" w:rsidRPr="002F7079" w:rsidRDefault="005F79C2" w:rsidP="002F7079">
      <w:pPr>
        <w:spacing w:after="0" w:line="360" w:lineRule="auto"/>
        <w:ind w:left="-170" w:right="-170"/>
        <w:jc w:val="both"/>
        <w:rPr>
          <w:rFonts w:cstheme="minorHAnsi"/>
          <w:noProof/>
        </w:rPr>
      </w:pPr>
      <w:r w:rsidRPr="002F7079">
        <w:rPr>
          <w:rFonts w:cs="Calibri"/>
        </w:rPr>
        <w:t>A</w:t>
      </w:r>
      <w:r w:rsidR="005341F2" w:rsidRPr="002F7079">
        <w:rPr>
          <w:rFonts w:cs="Calibri"/>
        </w:rPr>
        <w:t xml:space="preserve"> Obesidade </w:t>
      </w:r>
      <w:r w:rsidRPr="002F7079">
        <w:rPr>
          <w:rFonts w:cs="Calibri"/>
        </w:rPr>
        <w:t>surge em vários estudos</w:t>
      </w:r>
      <w:r w:rsidR="00BB54F1" w:rsidRPr="002F7079">
        <w:rPr>
          <w:rFonts w:cstheme="minorHAnsi"/>
          <w:noProof/>
        </w:rPr>
        <w:t xml:space="preserve">, não chegando </w:t>
      </w:r>
      <w:r w:rsidR="005341F2" w:rsidRPr="002F7079">
        <w:rPr>
          <w:rFonts w:cstheme="minorHAnsi"/>
          <w:noProof/>
        </w:rPr>
        <w:t xml:space="preserve">no entanto </w:t>
      </w:r>
      <w:r w:rsidR="00BB54F1" w:rsidRPr="002F7079">
        <w:rPr>
          <w:rFonts w:cstheme="minorHAnsi"/>
          <w:noProof/>
        </w:rPr>
        <w:t>a um consenso a partir de que valor de IMC</w:t>
      </w:r>
      <w:r w:rsidRPr="002F7079">
        <w:rPr>
          <w:rFonts w:cstheme="minorHAnsi"/>
          <w:noProof/>
        </w:rPr>
        <w:t xml:space="preserve"> é que é considerado </w:t>
      </w:r>
      <w:r w:rsidRPr="002F7079">
        <w:rPr>
          <w:rFonts w:cs="Calibri"/>
        </w:rPr>
        <w:t>como fator de risco</w:t>
      </w:r>
      <w:r w:rsidR="00884B9E" w:rsidRPr="002F7079">
        <w:rPr>
          <w:rFonts w:cstheme="minorHAnsi"/>
          <w:noProof/>
        </w:rPr>
        <w:t xml:space="preserve">. </w:t>
      </w:r>
      <w:r w:rsidR="00BB54F1" w:rsidRPr="002F7079">
        <w:rPr>
          <w:rFonts w:cstheme="minorHAnsi"/>
          <w:noProof/>
        </w:rPr>
        <w:t xml:space="preserve">Se por um lado a Desnutrição é apontada como </w:t>
      </w:r>
      <w:r w:rsidR="00BC1A78" w:rsidRPr="002F7079">
        <w:rPr>
          <w:rFonts w:cstheme="minorHAnsi"/>
          <w:noProof/>
        </w:rPr>
        <w:t>potencial</w:t>
      </w:r>
      <w:r w:rsidR="00BB54F1" w:rsidRPr="002F7079">
        <w:rPr>
          <w:rFonts w:cstheme="minorHAnsi"/>
          <w:noProof/>
        </w:rPr>
        <w:t xml:space="preserve"> problema, </w:t>
      </w:r>
      <w:r w:rsidR="005341F2" w:rsidRPr="002F7079">
        <w:rPr>
          <w:rFonts w:cstheme="minorHAnsi"/>
          <w:noProof/>
        </w:rPr>
        <w:t>pois está</w:t>
      </w:r>
      <w:r w:rsidR="00BB54F1" w:rsidRPr="002F7079">
        <w:rPr>
          <w:rFonts w:cstheme="minorHAnsi"/>
        </w:rPr>
        <w:t xml:space="preserve"> associada à má cicatrização de </w:t>
      </w:r>
      <w:r w:rsidR="00BB54F1" w:rsidRPr="002F7079">
        <w:rPr>
          <w:rFonts w:cstheme="minorHAnsi"/>
        </w:rPr>
        <w:t>feridas e ao risco aumentado de infeções de próteses articulares</w:t>
      </w:r>
      <w:r w:rsidR="00BC1A78" w:rsidRPr="002F7079">
        <w:rPr>
          <w:rFonts w:cstheme="minorHAnsi"/>
        </w:rPr>
        <w:t>,</w:t>
      </w:r>
      <w:r w:rsidR="00BB54F1" w:rsidRPr="002F7079">
        <w:rPr>
          <w:rFonts w:cstheme="minorHAnsi"/>
        </w:rPr>
        <w:t xml:space="preserve"> o contrário também é preocupante. </w:t>
      </w:r>
      <w:r w:rsidR="0040409E" w:rsidRPr="002F7079">
        <w:rPr>
          <w:rFonts w:cstheme="minorHAnsi"/>
        </w:rPr>
        <w:t>A</w:t>
      </w:r>
      <w:r w:rsidR="00BB54F1" w:rsidRPr="002F7079">
        <w:rPr>
          <w:rFonts w:cstheme="minorHAnsi"/>
        </w:rPr>
        <w:t xml:space="preserve"> desnutrição contribui para o desequilíbrio dos mecanismos de coagulação sanguínea, alteração na cicatrização e aumento de desequilíbrios eletrolíticos</w:t>
      </w:r>
      <w:r w:rsidRPr="002F7079">
        <w:rPr>
          <w:rFonts w:cstheme="minorHAnsi"/>
        </w:rPr>
        <w:t>,</w:t>
      </w:r>
      <w:r w:rsidR="00BB54F1" w:rsidRPr="002F7079">
        <w:rPr>
          <w:rFonts w:cstheme="minorHAnsi"/>
        </w:rPr>
        <w:t xml:space="preserve"> </w:t>
      </w:r>
      <w:r w:rsidR="00BC1A78" w:rsidRPr="002F7079">
        <w:rPr>
          <w:rFonts w:cstheme="minorHAnsi"/>
        </w:rPr>
        <w:t>e</w:t>
      </w:r>
      <w:r w:rsidR="00BB54F1" w:rsidRPr="002F7079">
        <w:rPr>
          <w:rFonts w:cstheme="minorHAnsi"/>
        </w:rPr>
        <w:t xml:space="preserve"> </w:t>
      </w:r>
      <w:r w:rsidRPr="002F7079">
        <w:rPr>
          <w:rFonts w:cstheme="minorHAnsi"/>
        </w:rPr>
        <w:t xml:space="preserve">por outro </w:t>
      </w:r>
      <w:r w:rsidR="00BB54F1" w:rsidRPr="002F7079">
        <w:rPr>
          <w:rFonts w:cstheme="minorHAnsi"/>
        </w:rPr>
        <w:t>a obesidade</w:t>
      </w:r>
      <w:r w:rsidR="00BC1A78" w:rsidRPr="002F7079">
        <w:rPr>
          <w:rFonts w:cstheme="minorHAnsi"/>
        </w:rPr>
        <w:t xml:space="preserve"> dificulta</w:t>
      </w:r>
      <w:r w:rsidR="00BB54F1" w:rsidRPr="002F7079">
        <w:rPr>
          <w:rFonts w:cstheme="minorHAnsi"/>
        </w:rPr>
        <w:t xml:space="preserve"> a vascularização e </w:t>
      </w:r>
      <w:r w:rsidR="00BC1A78" w:rsidRPr="002F7079">
        <w:rPr>
          <w:rFonts w:cstheme="minorHAnsi"/>
        </w:rPr>
        <w:t>prolonga</w:t>
      </w:r>
      <w:r w:rsidR="00BB54F1" w:rsidRPr="002F7079">
        <w:rPr>
          <w:rFonts w:cstheme="minorHAnsi"/>
        </w:rPr>
        <w:t xml:space="preserve"> o tempo da cirurgia</w:t>
      </w:r>
      <w:r w:rsidR="00BC1A78" w:rsidRPr="002F7079">
        <w:rPr>
          <w:rFonts w:cstheme="minorHAnsi"/>
        </w:rPr>
        <w:t>, devido ao aumento da espessura do tecido adiposo</w:t>
      </w:r>
      <w:r w:rsidR="00BC1A78" w:rsidRPr="002F7079">
        <w:rPr>
          <w:rFonts w:cstheme="minorHAnsi"/>
          <w:noProof/>
        </w:rPr>
        <w:t xml:space="preserve"> </w:t>
      </w:r>
      <w:r w:rsidR="00BB54F1" w:rsidRPr="002F7079">
        <w:rPr>
          <w:rFonts w:cstheme="minorHAnsi"/>
          <w:noProof/>
        </w:rPr>
        <w:t>(Fernandes, 2022; Ji et al., 2019; Santos et al., 2018; Yang et al., 2020).</w:t>
      </w:r>
    </w:p>
    <w:p w14:paraId="2B7A7543" w14:textId="72B2FADB" w:rsidR="00884B9E" w:rsidRPr="002F7079" w:rsidRDefault="005F79C2" w:rsidP="002F7079">
      <w:pPr>
        <w:spacing w:after="0" w:line="360" w:lineRule="auto"/>
        <w:ind w:left="-170" w:right="-170"/>
        <w:jc w:val="both"/>
        <w:rPr>
          <w:rFonts w:cstheme="minorHAnsi"/>
        </w:rPr>
      </w:pPr>
      <w:r w:rsidRPr="002F7079">
        <w:rPr>
          <w:rFonts w:cs="Calibri"/>
        </w:rPr>
        <w:t>Apesar</w:t>
      </w:r>
      <w:r w:rsidR="00BB54F1" w:rsidRPr="002F7079">
        <w:rPr>
          <w:rFonts w:cstheme="minorHAnsi"/>
        </w:rPr>
        <w:t xml:space="preserve"> de </w:t>
      </w:r>
      <w:r w:rsidRPr="002F7079">
        <w:rPr>
          <w:rFonts w:cstheme="minorHAnsi"/>
        </w:rPr>
        <w:t>se reconhecer</w:t>
      </w:r>
      <w:r w:rsidR="00BB54F1" w:rsidRPr="002F7079">
        <w:rPr>
          <w:rFonts w:cstheme="minorHAnsi"/>
        </w:rPr>
        <w:t xml:space="preserve"> que o aumento do IMC está associado ao aumento do risco de ILC, </w:t>
      </w:r>
      <w:r w:rsidRPr="002F7079">
        <w:rPr>
          <w:rFonts w:cstheme="minorHAnsi"/>
        </w:rPr>
        <w:t>há referência</w:t>
      </w:r>
      <w:r w:rsidR="00675835" w:rsidRPr="002F7079">
        <w:rPr>
          <w:rFonts w:cstheme="minorHAnsi"/>
        </w:rPr>
        <w:t xml:space="preserve"> ao facto de</w:t>
      </w:r>
      <w:r w:rsidR="00BB54F1" w:rsidRPr="002F7079">
        <w:rPr>
          <w:rFonts w:cstheme="minorHAnsi"/>
        </w:rPr>
        <w:t xml:space="preserve"> que </w:t>
      </w:r>
      <w:r w:rsidR="00C951D7" w:rsidRPr="002F7079">
        <w:rPr>
          <w:rFonts w:cstheme="minorHAnsi"/>
        </w:rPr>
        <w:t>não há</w:t>
      </w:r>
      <w:r w:rsidR="00BB54F1" w:rsidRPr="002F7079">
        <w:rPr>
          <w:rFonts w:cstheme="minorHAnsi"/>
        </w:rPr>
        <w:t xml:space="preserve"> diferença entre os doentes com aumento de tecido adiposo no local cirúrgico e aqueles com obesidade troncular. Este estudo introduz o termo razão de espessura da gordura pré-patelar, que é obtido a partir de radiografias pré-operatórias laterais do joelho, permitindo uma incisão precisa do tecido adiposo no local cirúrgico. </w:t>
      </w:r>
      <w:r w:rsidR="00884B9E" w:rsidRPr="002F7079">
        <w:rPr>
          <w:rFonts w:cstheme="minorHAnsi"/>
        </w:rPr>
        <w:t xml:space="preserve">Esta ferramenta é considerada promissora para a avaliação do risco pré-operatório em obesos, no entanto ainda necessita de mais pesquisas de forma a ser aplicado à população em geral. </w:t>
      </w:r>
    </w:p>
    <w:p w14:paraId="3C1316BA" w14:textId="3F528561" w:rsidR="00BB54F1" w:rsidRPr="002F7079" w:rsidRDefault="00675835" w:rsidP="002F7079">
      <w:pPr>
        <w:spacing w:after="0" w:line="360" w:lineRule="auto"/>
        <w:ind w:left="-170" w:right="-170"/>
        <w:jc w:val="both"/>
        <w:rPr>
          <w:rFonts w:cstheme="minorHAnsi"/>
        </w:rPr>
      </w:pPr>
      <w:r w:rsidRPr="002F7079">
        <w:rPr>
          <w:rFonts w:cs="Calibri"/>
        </w:rPr>
        <w:t xml:space="preserve">É ainda realçado que </w:t>
      </w:r>
      <w:r w:rsidR="005341F2" w:rsidRPr="002F7079">
        <w:rPr>
          <w:rFonts w:cstheme="minorHAnsi"/>
        </w:rPr>
        <w:t>o</w:t>
      </w:r>
      <w:r w:rsidR="00BB54F1" w:rsidRPr="002F7079">
        <w:rPr>
          <w:rFonts w:cstheme="minorHAnsi"/>
        </w:rPr>
        <w:t xml:space="preserve"> estado nutricional do doente pode ser avaliado analiticamente através da utilização de marcadores séricos de proteínas viscerais, como a albumina</w:t>
      </w:r>
      <w:r w:rsidR="005341F2" w:rsidRPr="002F7079">
        <w:rPr>
          <w:rFonts w:cstheme="minorHAnsi"/>
        </w:rPr>
        <w:t xml:space="preserve">, </w:t>
      </w:r>
      <w:r w:rsidR="00BB54F1" w:rsidRPr="002F7079">
        <w:rPr>
          <w:rFonts w:cstheme="minorHAnsi"/>
        </w:rPr>
        <w:t xml:space="preserve">o volume corpuscular médio e a anemia ferropénica. Estes estudos reforçam a importância </w:t>
      </w:r>
      <w:r w:rsidR="00C951D7" w:rsidRPr="002F7079">
        <w:rPr>
          <w:rFonts w:cstheme="minorHAnsi"/>
        </w:rPr>
        <w:t>da avaliação pré-operatória do</w:t>
      </w:r>
      <w:r w:rsidR="00BB54F1" w:rsidRPr="002F7079">
        <w:rPr>
          <w:rFonts w:cstheme="minorHAnsi"/>
        </w:rPr>
        <w:t xml:space="preserve"> estado nutricional do doente e </w:t>
      </w:r>
      <w:r w:rsidR="00C951D7" w:rsidRPr="002F7079">
        <w:rPr>
          <w:rFonts w:cstheme="minorHAnsi"/>
        </w:rPr>
        <w:t>implementação</w:t>
      </w:r>
      <w:r w:rsidR="00BB54F1" w:rsidRPr="002F7079">
        <w:rPr>
          <w:rFonts w:cstheme="minorHAnsi"/>
        </w:rPr>
        <w:t xml:space="preserve"> </w:t>
      </w:r>
      <w:r w:rsidR="00C951D7" w:rsidRPr="002F7079">
        <w:rPr>
          <w:rFonts w:cstheme="minorHAnsi"/>
        </w:rPr>
        <w:t>d</w:t>
      </w:r>
      <w:r w:rsidR="00BB54F1" w:rsidRPr="002F7079">
        <w:rPr>
          <w:rFonts w:cstheme="minorHAnsi"/>
        </w:rPr>
        <w:t xml:space="preserve">as devidas medidas corretivas, </w:t>
      </w:r>
      <w:r w:rsidR="002919B9" w:rsidRPr="002F7079">
        <w:rPr>
          <w:rFonts w:cstheme="minorHAnsi"/>
        </w:rPr>
        <w:t>para</w:t>
      </w:r>
      <w:r w:rsidR="00BB54F1" w:rsidRPr="002F7079">
        <w:rPr>
          <w:rFonts w:cstheme="minorHAnsi"/>
        </w:rPr>
        <w:t xml:space="preserve"> evitarem o risco de ILC após ATJ. O valor diminuído de albumina, é reconhecido por outro autor, como estando associados à desnutrição e ser potenciador de ILC devido à proliferação de fibroblastos e diminuição da síntese de colágeno, </w:t>
      </w:r>
      <w:r w:rsidR="00BB54F1" w:rsidRPr="002F7079">
        <w:rPr>
          <w:rFonts w:cstheme="minorHAnsi"/>
        </w:rPr>
        <w:lastRenderedPageBreak/>
        <w:t xml:space="preserve">deprimindo igualmente o sistema imunológico </w:t>
      </w:r>
      <w:r w:rsidR="00BB54F1" w:rsidRPr="002F7079">
        <w:rPr>
          <w:rFonts w:cstheme="minorHAnsi"/>
          <w:noProof/>
        </w:rPr>
        <w:t>(Yang et al., 2020)</w:t>
      </w:r>
      <w:r w:rsidR="00BB54F1" w:rsidRPr="002F7079">
        <w:rPr>
          <w:rFonts w:cstheme="minorHAnsi"/>
        </w:rPr>
        <w:t xml:space="preserve">. </w:t>
      </w:r>
    </w:p>
    <w:p w14:paraId="435B9F82" w14:textId="4E9DA2A1" w:rsidR="00BB54F1" w:rsidRPr="002F7079" w:rsidRDefault="00BB54F1" w:rsidP="002F7079">
      <w:pPr>
        <w:spacing w:after="0" w:line="360" w:lineRule="auto"/>
        <w:ind w:left="-170" w:right="-170"/>
        <w:jc w:val="both"/>
        <w:rPr>
          <w:rFonts w:cstheme="minorHAnsi"/>
          <w:noProof/>
        </w:rPr>
      </w:pPr>
      <w:r w:rsidRPr="002F7079">
        <w:rPr>
          <w:rFonts w:cstheme="minorHAnsi"/>
        </w:rPr>
        <w:t>Já o parâmetro Volume Corpuscular Médio, ao encontrar-se diminuído pode ser indicativo de anemia, tal como a anemia ferropénica, sendo estes doentes mais propensos a necessitar de transfusão sanguínea no pós-operatório, com as complicações decorrentes do seu manuseio e armazenamento</w:t>
      </w:r>
      <w:r w:rsidR="005341F2" w:rsidRPr="002F7079">
        <w:rPr>
          <w:rFonts w:cstheme="minorHAnsi"/>
        </w:rPr>
        <w:t xml:space="preserve">, </w:t>
      </w:r>
      <w:r w:rsidRPr="002F7079">
        <w:rPr>
          <w:rFonts w:cstheme="minorHAnsi"/>
        </w:rPr>
        <w:t>o que por si só</w:t>
      </w:r>
      <w:r w:rsidR="00702F1C" w:rsidRPr="002F7079">
        <w:rPr>
          <w:rFonts w:cstheme="minorHAnsi"/>
        </w:rPr>
        <w:t>,</w:t>
      </w:r>
      <w:r w:rsidRPr="002F7079">
        <w:rPr>
          <w:rFonts w:cstheme="minorHAnsi"/>
        </w:rPr>
        <w:t xml:space="preserve"> é entendido como um aumento do risco de ILC, tal como é corroborado por </w:t>
      </w:r>
      <w:r w:rsidRPr="002F7079">
        <w:rPr>
          <w:rFonts w:cstheme="minorHAnsi"/>
          <w:noProof/>
        </w:rPr>
        <w:t>Bakri et al. (2021) e por Coutinho et al. (2022).</w:t>
      </w:r>
    </w:p>
    <w:p w14:paraId="2323B167" w14:textId="56FC7330" w:rsidR="0000353D" w:rsidRPr="002F7079" w:rsidRDefault="00BB54F1" w:rsidP="002F7079">
      <w:pPr>
        <w:spacing w:after="0" w:line="360" w:lineRule="auto"/>
        <w:ind w:left="-170" w:right="-170"/>
        <w:jc w:val="both"/>
        <w:rPr>
          <w:rFonts w:cstheme="minorHAnsi"/>
          <w:noProof/>
        </w:rPr>
      </w:pPr>
      <w:r w:rsidRPr="002F7079">
        <w:rPr>
          <w:rFonts w:cstheme="minorHAnsi"/>
          <w:noProof/>
        </w:rPr>
        <w:t xml:space="preserve">Em relação à cicatrização da ferida cirúrgica, </w:t>
      </w:r>
      <w:r w:rsidR="002919B9" w:rsidRPr="002F7079">
        <w:rPr>
          <w:rFonts w:cstheme="minorHAnsi"/>
          <w:noProof/>
        </w:rPr>
        <w:t>foi identificado</w:t>
      </w:r>
      <w:r w:rsidRPr="002F7079">
        <w:rPr>
          <w:rFonts w:cstheme="minorHAnsi"/>
          <w:noProof/>
        </w:rPr>
        <w:t xml:space="preserve"> a Úlcera do Pé Diabético como antecedente</w:t>
      </w:r>
      <w:r w:rsidR="00675835" w:rsidRPr="002F7079">
        <w:rPr>
          <w:rFonts w:cstheme="minorHAnsi"/>
          <w:noProof/>
        </w:rPr>
        <w:t xml:space="preserve">, </w:t>
      </w:r>
      <w:r w:rsidRPr="002F7079">
        <w:rPr>
          <w:rFonts w:cstheme="minorHAnsi"/>
          <w:noProof/>
        </w:rPr>
        <w:t xml:space="preserve">os Distúrbios da Cicatrização pós-operatórios e a presença de Doença Venosa Periférica. </w:t>
      </w:r>
      <w:r w:rsidR="00EF7739" w:rsidRPr="002F7079">
        <w:rPr>
          <w:rFonts w:cstheme="minorHAnsi"/>
          <w:noProof/>
        </w:rPr>
        <w:t>Ainda é acrescentado</w:t>
      </w:r>
      <w:r w:rsidRPr="002F7079">
        <w:rPr>
          <w:rFonts w:cstheme="minorHAnsi"/>
          <w:noProof/>
        </w:rPr>
        <w:t xml:space="preserve"> que os doentes que têm como antecedentes úlcera do pé diabético, apresentam um risco aumentado de ILC e de outras complicações adicionais, para além de terem distúrbios na cicatrização pós-operatória e doença venosa periférica decorrente da diabetes </w:t>
      </w:r>
      <w:r w:rsidRPr="002F7079">
        <w:rPr>
          <w:rFonts w:cstheme="minorHAnsi"/>
          <w:i/>
          <w:iCs/>
          <w:noProof/>
        </w:rPr>
        <w:t>mellitus</w:t>
      </w:r>
      <w:r w:rsidR="001723AC" w:rsidRPr="002F7079">
        <w:rPr>
          <w:rFonts w:cstheme="minorHAnsi"/>
          <w:noProof/>
        </w:rPr>
        <w:t xml:space="preserve"> </w:t>
      </w:r>
      <w:r w:rsidR="0000353D" w:rsidRPr="002F7079">
        <w:rPr>
          <w:rFonts w:cstheme="minorHAnsi"/>
          <w:noProof/>
        </w:rPr>
        <w:fldChar w:fldCharType="begin"/>
      </w:r>
      <w:r w:rsidR="0000353D" w:rsidRPr="002F7079">
        <w:rPr>
          <w:rFonts w:cstheme="minorHAnsi"/>
          <w:noProof/>
        </w:rPr>
        <w:instrText xml:space="preserve"> ADDIN ZOTERO_ITEM CSL_CITATION {"citationID":"eBS2u8cZ","properties":{"formattedCitation":"(Pitocco et al., 2019)","plainCitation":"(Pitocco et al., 2019)","noteIndex":0},"citationItems":[{"id":8827,"uris":["http://zotero.org/users/local/9R0Isi0Z/items/VLIWCN3X"],"itemData":{"id":8827,"type":"article-journal","abstract":"Diabetic foot ulcers (DFUs), a micro-vascular complication, are associated with a substantial increase in morbidity and mortality. DFUs are a complicated mixture  of neuropathy, peripheral arterial diseases, foot deformities, and infections.  Foot infections are frequent and potentially devastating complications. Infection  prospers in more than half of all foot ulcers and is the factor that most often  leads to lower extremity amputation. The complications of microbial flora span  the spectrum from superficial cellulitis to chronic osteomyelitis and gangrenous  extremity lower limb amputations. Wounds without confirmed soft tissue or bone  infections do not require antibiotic therapy. Mild and moderate infections need  empiric therapy covering Gram-positive cocci, while severe infections caused by  drug-resistant organisms require broad-spectrum anti-microbials targeting  aggressive Gram-negative aerobes and obligate anaerobes.","container-title":"European review for medical and pharmacological sciences","DOI":"10.26355/eurrev_201904_17471","ISSN":"2284-0729 1128-3602","issue":"2 Suppl","journalAbbreviation":"Eur Rev Med Pharmacol Sci","language":"eng","note":"publisher-place: Italy\nPMID: 30977868","page":"26-37","title":"Diabetic foot infections: a comprehensive overview.","volume":"23","author":[{"family":"Pitocco","given":"D."},{"family":"Spanu","given":"T."},{"family":"Di Leo","given":"M."},{"family":"Vitiello","given":"R."},{"family":"Rizzi","given":"A."},{"family":"Tartaglione","given":"L."},{"family":"Fiori","given":"B."},{"family":"Caputo","given":"S."},{"family":"Tinelli","given":"G."},{"family":"Zaccardi","given":"F."},{"family":"Flex","given":"A."},{"family":"Galli","given":"M."},{"family":"Pontecorvi","given":"A."},{"family":"Sanguinetti","given":"M."}],"issued":{"date-parts":[["2019",4]]}}}],"schema":"https://github.com/citation-style-language/schema/raw/master/csl-citation.json"} </w:instrText>
      </w:r>
      <w:r w:rsidR="0000353D" w:rsidRPr="002F7079">
        <w:rPr>
          <w:rFonts w:cstheme="minorHAnsi"/>
          <w:noProof/>
        </w:rPr>
        <w:fldChar w:fldCharType="separate"/>
      </w:r>
      <w:r w:rsidR="0000353D" w:rsidRPr="002F7079">
        <w:rPr>
          <w:rFonts w:cstheme="minorHAnsi"/>
        </w:rPr>
        <w:t>(Pitocco et al., 2019)</w:t>
      </w:r>
      <w:r w:rsidR="0000353D" w:rsidRPr="002F7079">
        <w:rPr>
          <w:rFonts w:cstheme="minorHAnsi"/>
          <w:noProof/>
        </w:rPr>
        <w:fldChar w:fldCharType="end"/>
      </w:r>
      <w:r w:rsidR="0000353D" w:rsidRPr="002F7079">
        <w:rPr>
          <w:rFonts w:cstheme="minorHAnsi"/>
          <w:noProof/>
        </w:rPr>
        <w:t xml:space="preserve">. </w:t>
      </w:r>
    </w:p>
    <w:p w14:paraId="2B598F11" w14:textId="139D39B4" w:rsidR="0000353D" w:rsidRPr="002F7079" w:rsidRDefault="00B05433" w:rsidP="002F7079">
      <w:pPr>
        <w:spacing w:after="0" w:line="360" w:lineRule="auto"/>
        <w:ind w:left="-170" w:right="-170"/>
        <w:jc w:val="both"/>
        <w:rPr>
          <w:rFonts w:cstheme="minorHAnsi"/>
        </w:rPr>
      </w:pPr>
      <w:r w:rsidRPr="002F7079">
        <w:rPr>
          <w:rFonts w:cstheme="minorHAnsi"/>
          <w:noProof/>
        </w:rPr>
        <w:t>O</w:t>
      </w:r>
      <w:r w:rsidR="0000353D" w:rsidRPr="002F7079">
        <w:rPr>
          <w:rFonts w:cstheme="minorHAnsi"/>
          <w:noProof/>
        </w:rPr>
        <w:t xml:space="preserve"> Uso de Opióides superior a 6 meses no pré-operatório é </w:t>
      </w:r>
      <w:r w:rsidRPr="002F7079">
        <w:rPr>
          <w:rFonts w:cstheme="minorHAnsi"/>
          <w:noProof/>
        </w:rPr>
        <w:t>identificado</w:t>
      </w:r>
      <w:r w:rsidR="0000353D" w:rsidRPr="002F7079">
        <w:rPr>
          <w:rFonts w:cstheme="minorHAnsi"/>
          <w:noProof/>
        </w:rPr>
        <w:t xml:space="preserve"> como fator de risco</w:t>
      </w:r>
      <w:r w:rsidR="00EF7739" w:rsidRPr="002F7079">
        <w:rPr>
          <w:rFonts w:cstheme="minorHAnsi"/>
          <w:noProof/>
        </w:rPr>
        <w:t xml:space="preserve"> </w:t>
      </w:r>
      <w:r w:rsidR="00675835" w:rsidRPr="002F7079">
        <w:rPr>
          <w:rFonts w:cstheme="minorHAnsi"/>
          <w:noProof/>
        </w:rPr>
        <w:t>modificável.</w:t>
      </w:r>
      <w:r w:rsidR="0000353D" w:rsidRPr="002F7079">
        <w:rPr>
          <w:rFonts w:cstheme="minorHAnsi"/>
          <w:noProof/>
        </w:rPr>
        <w:t xml:space="preserve"> </w:t>
      </w:r>
      <w:r w:rsidR="0000353D" w:rsidRPr="002F7079">
        <w:rPr>
          <w:rFonts w:cstheme="minorHAnsi"/>
        </w:rPr>
        <w:t>Este</w:t>
      </w:r>
      <w:r w:rsidRPr="002F7079">
        <w:rPr>
          <w:rFonts w:cstheme="minorHAnsi"/>
        </w:rPr>
        <w:t>s</w:t>
      </w:r>
      <w:r w:rsidR="0000353D" w:rsidRPr="002F7079">
        <w:rPr>
          <w:rFonts w:cstheme="minorHAnsi"/>
        </w:rPr>
        <w:t xml:space="preserve"> </w:t>
      </w:r>
      <w:r w:rsidR="00EF7739" w:rsidRPr="002F7079">
        <w:rPr>
          <w:rFonts w:cstheme="minorHAnsi"/>
        </w:rPr>
        <w:t>estudos</w:t>
      </w:r>
      <w:r w:rsidR="0000353D" w:rsidRPr="002F7079">
        <w:rPr>
          <w:rFonts w:cstheme="minorHAnsi"/>
        </w:rPr>
        <w:t xml:space="preserve"> refere</w:t>
      </w:r>
      <w:r w:rsidRPr="002F7079">
        <w:rPr>
          <w:rFonts w:cstheme="minorHAnsi"/>
        </w:rPr>
        <w:t>m</w:t>
      </w:r>
      <w:r w:rsidR="0000353D" w:rsidRPr="002F7079">
        <w:rPr>
          <w:rFonts w:cstheme="minorHAnsi"/>
        </w:rPr>
        <w:t xml:space="preserve"> que é frequente, no pré-operatório, que os doentes </w:t>
      </w:r>
      <w:r w:rsidR="002919B9" w:rsidRPr="002F7079">
        <w:rPr>
          <w:rFonts w:cstheme="minorHAnsi"/>
        </w:rPr>
        <w:t>propostos</w:t>
      </w:r>
      <w:r w:rsidR="0000353D" w:rsidRPr="002F7079">
        <w:rPr>
          <w:rFonts w:cstheme="minorHAnsi"/>
        </w:rPr>
        <w:t xml:space="preserve"> a ATJ, </w:t>
      </w:r>
      <w:r w:rsidRPr="002F7079">
        <w:rPr>
          <w:rFonts w:cstheme="minorHAnsi"/>
        </w:rPr>
        <w:t>como</w:t>
      </w:r>
      <w:r w:rsidR="0000353D" w:rsidRPr="002F7079">
        <w:rPr>
          <w:rFonts w:cstheme="minorHAnsi"/>
        </w:rPr>
        <w:t xml:space="preserve"> forma </w:t>
      </w:r>
      <w:r w:rsidRPr="002F7079">
        <w:rPr>
          <w:rFonts w:cstheme="minorHAnsi"/>
        </w:rPr>
        <w:t xml:space="preserve">de </w:t>
      </w:r>
      <w:r w:rsidR="0000353D" w:rsidRPr="002F7079">
        <w:rPr>
          <w:rFonts w:cstheme="minorHAnsi"/>
        </w:rPr>
        <w:t>controlar a dor, usem opióides, muitas vezes de forma não supervisionada</w:t>
      </w:r>
      <w:r w:rsidR="005139BB" w:rsidRPr="002F7079">
        <w:rPr>
          <w:rFonts w:cstheme="minorHAnsi"/>
        </w:rPr>
        <w:t>, estando</w:t>
      </w:r>
      <w:r w:rsidR="0000353D" w:rsidRPr="002F7079">
        <w:rPr>
          <w:rFonts w:cstheme="minorHAnsi"/>
        </w:rPr>
        <w:t xml:space="preserve"> associado ao aumento da possibilidade de deiscência da ferida operatória e ILC e </w:t>
      </w:r>
      <w:r w:rsidRPr="002F7079">
        <w:rPr>
          <w:rFonts w:cstheme="minorHAnsi"/>
        </w:rPr>
        <w:t xml:space="preserve">à </w:t>
      </w:r>
      <w:r w:rsidR="0000353D" w:rsidRPr="002F7079">
        <w:rPr>
          <w:rFonts w:cstheme="minorHAnsi"/>
        </w:rPr>
        <w:t xml:space="preserve">readmissão hospitalar, devido à hiperalgesia por modulação nociceptiva, aumentando o risco de quedas e fraturas devido ao comprometimento cognitivo, assim como o risco de infeção devido à imunossupressão. Num estudo realizado em 2021, para além </w:t>
      </w:r>
      <w:r w:rsidR="00EF7739" w:rsidRPr="002F7079">
        <w:rPr>
          <w:rFonts w:cstheme="minorHAnsi"/>
        </w:rPr>
        <w:t>do apoio a</w:t>
      </w:r>
      <w:r w:rsidR="0000353D" w:rsidRPr="002F7079">
        <w:rPr>
          <w:rFonts w:cstheme="minorHAnsi"/>
        </w:rPr>
        <w:t xml:space="preserve"> esta </w:t>
      </w:r>
      <w:r w:rsidR="0000353D" w:rsidRPr="002F7079">
        <w:rPr>
          <w:rFonts w:cstheme="minorHAnsi"/>
        </w:rPr>
        <w:t xml:space="preserve">evidência, os autores também abordaram a temática das interações medicamentosas </w:t>
      </w:r>
      <w:r w:rsidR="0000353D" w:rsidRPr="002F7079">
        <w:rPr>
          <w:rFonts w:cstheme="minorHAnsi"/>
          <w:noProof/>
        </w:rPr>
        <w:t>(Silva et al., 2021)</w:t>
      </w:r>
      <w:r w:rsidR="0000353D" w:rsidRPr="002F7079">
        <w:rPr>
          <w:rFonts w:cstheme="minorHAnsi"/>
        </w:rPr>
        <w:t>.</w:t>
      </w:r>
    </w:p>
    <w:p w14:paraId="25D24011" w14:textId="731B004F" w:rsidR="0000353D" w:rsidRPr="002F7079" w:rsidRDefault="00675835" w:rsidP="002F7079">
      <w:pPr>
        <w:spacing w:after="0" w:line="360" w:lineRule="auto"/>
        <w:ind w:left="-170" w:right="-170"/>
        <w:jc w:val="both"/>
        <w:rPr>
          <w:rFonts w:cstheme="minorHAnsi"/>
        </w:rPr>
      </w:pPr>
      <w:r w:rsidRPr="002F7079">
        <w:rPr>
          <w:rFonts w:cstheme="minorHAnsi"/>
        </w:rPr>
        <w:t>A associação da Infeção do Trato Urinário na ILC</w:t>
      </w:r>
      <w:r w:rsidRPr="002F7079">
        <w:rPr>
          <w:rFonts w:cs="Calibri"/>
        </w:rPr>
        <w:t xml:space="preserve"> consta de um</w:t>
      </w:r>
      <w:r w:rsidR="0000353D" w:rsidRPr="002F7079">
        <w:rPr>
          <w:rFonts w:cstheme="minorHAnsi"/>
        </w:rPr>
        <w:t xml:space="preserve"> estudo, tendo por base a evidência não consensual, que leva ao adiamento contínuo de cirurgias. </w:t>
      </w:r>
      <w:r w:rsidR="0000353D" w:rsidRPr="002F7079">
        <w:rPr>
          <w:rFonts w:cstheme="minorHAnsi"/>
          <w:noProof/>
        </w:rPr>
        <w:t>Punjani et al. (2018)</w:t>
      </w:r>
      <w:r w:rsidR="0040409E" w:rsidRPr="002F7079">
        <w:rPr>
          <w:rFonts w:cstheme="minorHAnsi"/>
          <w:noProof/>
        </w:rPr>
        <w:t xml:space="preserve"> refere </w:t>
      </w:r>
      <w:r w:rsidR="0000353D" w:rsidRPr="002F7079">
        <w:rPr>
          <w:rFonts w:cstheme="minorHAnsi"/>
          <w:noProof/>
        </w:rPr>
        <w:t xml:space="preserve">que </w:t>
      </w:r>
      <w:r w:rsidR="0000353D" w:rsidRPr="002F7079">
        <w:rPr>
          <w:rFonts w:cstheme="minorHAnsi"/>
        </w:rPr>
        <w:t xml:space="preserve">a infeção do trato urinário pré e intraoperatória não constitui risco acrescido de ILC, ao contrário da que ocorre no pós operatório e que esta infeção urinária no pré-operatório, não é impeditivo para </w:t>
      </w:r>
      <w:r w:rsidR="002919B9" w:rsidRPr="002F7079">
        <w:rPr>
          <w:rFonts w:cstheme="minorHAnsi"/>
        </w:rPr>
        <w:t>a realização</w:t>
      </w:r>
      <w:r w:rsidR="0000353D" w:rsidRPr="002F7079">
        <w:rPr>
          <w:rFonts w:cstheme="minorHAnsi"/>
        </w:rPr>
        <w:t xml:space="preserve"> </w:t>
      </w:r>
      <w:r w:rsidR="002919B9" w:rsidRPr="002F7079">
        <w:rPr>
          <w:rFonts w:cstheme="minorHAnsi"/>
        </w:rPr>
        <w:t>d</w:t>
      </w:r>
      <w:r w:rsidR="0000353D" w:rsidRPr="002F7079">
        <w:rPr>
          <w:rFonts w:cstheme="minorHAnsi"/>
        </w:rPr>
        <w:t>a cirurgia, embora considerem prudente iniciar-se a adequada antibioterapia.</w:t>
      </w:r>
    </w:p>
    <w:p w14:paraId="0DF08B32" w14:textId="09085F24" w:rsidR="0000353D" w:rsidRPr="002F7079" w:rsidRDefault="00B05433" w:rsidP="002F7079">
      <w:pPr>
        <w:spacing w:after="0" w:line="360" w:lineRule="auto"/>
        <w:ind w:left="-170" w:right="-170"/>
        <w:jc w:val="both"/>
        <w:rPr>
          <w:rFonts w:cstheme="minorHAnsi"/>
        </w:rPr>
      </w:pPr>
      <w:r w:rsidRPr="002F7079">
        <w:rPr>
          <w:rFonts w:cstheme="minorHAnsi"/>
        </w:rPr>
        <w:t>A</w:t>
      </w:r>
      <w:r w:rsidR="0000353D" w:rsidRPr="002F7079">
        <w:rPr>
          <w:rFonts w:cstheme="minorHAnsi"/>
        </w:rPr>
        <w:t xml:space="preserve"> Cola Cutânea de Cianoacrilato</w:t>
      </w:r>
      <w:r w:rsidRPr="002F7079">
        <w:rPr>
          <w:rFonts w:cstheme="minorHAnsi"/>
        </w:rPr>
        <w:t xml:space="preserve"> no encerramento da ferida cirúrgica </w:t>
      </w:r>
      <w:r w:rsidR="008346FE" w:rsidRPr="002F7079">
        <w:rPr>
          <w:rFonts w:cstheme="minorHAnsi"/>
        </w:rPr>
        <w:t xml:space="preserve">é apontada </w:t>
      </w:r>
      <w:r w:rsidR="00675835" w:rsidRPr="002F7079">
        <w:rPr>
          <w:rFonts w:cstheme="minorHAnsi"/>
        </w:rPr>
        <w:t xml:space="preserve">igualmente </w:t>
      </w:r>
      <w:r w:rsidR="008346FE" w:rsidRPr="002F7079">
        <w:rPr>
          <w:rFonts w:cstheme="minorHAnsi"/>
        </w:rPr>
        <w:t xml:space="preserve">como fator de risco </w:t>
      </w:r>
      <w:r w:rsidR="00675835" w:rsidRPr="002F7079">
        <w:rPr>
          <w:rFonts w:cstheme="minorHAnsi"/>
        </w:rPr>
        <w:t>modificável,</w:t>
      </w:r>
      <w:r w:rsidR="008346FE" w:rsidRPr="002F7079">
        <w:rPr>
          <w:rFonts w:cs="Calibri"/>
        </w:rPr>
        <w:t xml:space="preserve"> </w:t>
      </w:r>
      <w:r w:rsidR="007C450E" w:rsidRPr="002F7079">
        <w:rPr>
          <w:rFonts w:cs="Calibri"/>
        </w:rPr>
        <w:t>justificad</w:t>
      </w:r>
      <w:r w:rsidR="00675835" w:rsidRPr="002F7079">
        <w:rPr>
          <w:rFonts w:cs="Calibri"/>
        </w:rPr>
        <w:t>o</w:t>
      </w:r>
      <w:r w:rsidR="008346FE" w:rsidRPr="002F7079">
        <w:rPr>
          <w:rFonts w:cs="Calibri"/>
        </w:rPr>
        <w:t xml:space="preserve"> pelo</w:t>
      </w:r>
      <w:r w:rsidR="0000353D" w:rsidRPr="002F7079">
        <w:rPr>
          <w:rFonts w:cstheme="minorHAnsi"/>
        </w:rPr>
        <w:t xml:space="preserve"> aument</w:t>
      </w:r>
      <w:r w:rsidR="008346FE" w:rsidRPr="002F7079">
        <w:rPr>
          <w:rFonts w:cstheme="minorHAnsi"/>
        </w:rPr>
        <w:t>o</w:t>
      </w:r>
      <w:r w:rsidR="0000353D" w:rsidRPr="002F7079">
        <w:rPr>
          <w:rFonts w:cstheme="minorHAnsi"/>
        </w:rPr>
        <w:t xml:space="preserve"> </w:t>
      </w:r>
      <w:r w:rsidR="008346FE" w:rsidRPr="002F7079">
        <w:rPr>
          <w:rFonts w:cstheme="minorHAnsi"/>
        </w:rPr>
        <w:t>d</w:t>
      </w:r>
      <w:r w:rsidR="0000353D" w:rsidRPr="002F7079">
        <w:rPr>
          <w:rFonts w:cstheme="minorHAnsi"/>
        </w:rPr>
        <w:t xml:space="preserve">o exsudato da ferida cirúrgica, devido à barreira formada pela cola na pele, impedindo a drenagem da ferida no pós-operatório imediato, acumulando fluidos, potencializando a ILC, </w:t>
      </w:r>
      <w:r w:rsidRPr="002F7079">
        <w:rPr>
          <w:rFonts w:cstheme="minorHAnsi"/>
        </w:rPr>
        <w:t>e</w:t>
      </w:r>
      <w:r w:rsidR="0000353D" w:rsidRPr="002F7079">
        <w:rPr>
          <w:rFonts w:cstheme="minorHAnsi"/>
        </w:rPr>
        <w:t xml:space="preserve"> devido ao aumento da tensão dos tecidos da ferida, </w:t>
      </w:r>
      <w:r w:rsidR="001723AC" w:rsidRPr="002F7079">
        <w:rPr>
          <w:rFonts w:cstheme="minorHAnsi"/>
        </w:rPr>
        <w:t>torna</w:t>
      </w:r>
      <w:r w:rsidR="0000353D" w:rsidRPr="002F7079">
        <w:rPr>
          <w:rFonts w:cstheme="minorHAnsi"/>
        </w:rPr>
        <w:t xml:space="preserve"> a pele irregular, causando danos e uma via de acesso a agentes microbianos. </w:t>
      </w:r>
      <w:r w:rsidR="005139BB" w:rsidRPr="002F7079">
        <w:rPr>
          <w:rFonts w:cstheme="minorHAnsi"/>
        </w:rPr>
        <w:t>Mas</w:t>
      </w:r>
      <w:r w:rsidR="0000353D" w:rsidRPr="002F7079">
        <w:rPr>
          <w:rFonts w:cstheme="minorHAnsi"/>
        </w:rPr>
        <w:t xml:space="preserve"> </w:t>
      </w:r>
      <w:r w:rsidR="0000353D" w:rsidRPr="002F7079">
        <w:rPr>
          <w:rFonts w:cstheme="minorHAnsi"/>
          <w:noProof/>
        </w:rPr>
        <w:t>Filho et al. (2021)</w:t>
      </w:r>
      <w:r w:rsidR="0000353D" w:rsidRPr="002F7079">
        <w:rPr>
          <w:rFonts w:cstheme="minorHAnsi"/>
        </w:rPr>
        <w:t xml:space="preserve"> refere que pode ser usada com segurança como alternativa em cirurgias, devido à sua facilidade de aplicação</w:t>
      </w:r>
      <w:r w:rsidR="001723AC" w:rsidRPr="002F7079">
        <w:rPr>
          <w:rFonts w:cstheme="minorHAnsi"/>
        </w:rPr>
        <w:t xml:space="preserve"> </w:t>
      </w:r>
      <w:r w:rsidR="0000353D" w:rsidRPr="002F7079">
        <w:rPr>
          <w:rFonts w:cstheme="minorHAnsi"/>
        </w:rPr>
        <w:t xml:space="preserve">e aumento da eficiência de cicatrização. No entanto estes autores ressalvam que este método de sutura deverá ser usado especificamente nas cirurgias plásticas, oftálmicas e cardíacas, indo </w:t>
      </w:r>
      <w:r w:rsidR="000D2C99" w:rsidRPr="002F7079">
        <w:rPr>
          <w:rFonts w:cstheme="minorHAnsi"/>
        </w:rPr>
        <w:t>ao</w:t>
      </w:r>
      <w:r w:rsidR="0000353D" w:rsidRPr="002F7079">
        <w:rPr>
          <w:rFonts w:cstheme="minorHAnsi"/>
        </w:rPr>
        <w:t xml:space="preserve"> encontro </w:t>
      </w:r>
      <w:r w:rsidR="000D2C99" w:rsidRPr="002F7079">
        <w:rPr>
          <w:rFonts w:cstheme="minorHAnsi"/>
        </w:rPr>
        <w:t>da</w:t>
      </w:r>
      <w:r w:rsidR="0000353D" w:rsidRPr="002F7079">
        <w:rPr>
          <w:rFonts w:cstheme="minorHAnsi"/>
        </w:rPr>
        <w:t xml:space="preserve"> presente </w:t>
      </w:r>
      <w:proofErr w:type="spellStart"/>
      <w:r w:rsidR="0000353D" w:rsidRPr="002F7079">
        <w:rPr>
          <w:rFonts w:cstheme="minorHAnsi"/>
          <w:i/>
        </w:rPr>
        <w:t>ScR</w:t>
      </w:r>
      <w:proofErr w:type="spellEnd"/>
      <w:r w:rsidR="0000353D" w:rsidRPr="002F7079">
        <w:rPr>
          <w:rFonts w:cstheme="minorHAnsi"/>
        </w:rPr>
        <w:t>.</w:t>
      </w:r>
    </w:p>
    <w:p w14:paraId="54FAABDC" w14:textId="5CC2C1DC" w:rsidR="00C93506" w:rsidRPr="002F7079" w:rsidRDefault="0000353D" w:rsidP="002F7079">
      <w:pPr>
        <w:spacing w:after="0" w:line="360" w:lineRule="auto"/>
        <w:ind w:left="-170" w:right="-170"/>
        <w:jc w:val="both"/>
        <w:rPr>
          <w:rFonts w:cstheme="minorHAnsi"/>
          <w:noProof/>
        </w:rPr>
      </w:pPr>
      <w:r w:rsidRPr="002F7079">
        <w:rPr>
          <w:rFonts w:cstheme="minorHAnsi"/>
          <w:noProof/>
        </w:rPr>
        <w:t>Por fim, foi identificado</w:t>
      </w:r>
      <w:r w:rsidR="007C450E" w:rsidRPr="002F7079">
        <w:rPr>
          <w:rFonts w:cstheme="minorHAnsi"/>
          <w:noProof/>
        </w:rPr>
        <w:t xml:space="preserve"> </w:t>
      </w:r>
      <w:r w:rsidRPr="002F7079">
        <w:rPr>
          <w:rFonts w:cstheme="minorHAnsi"/>
          <w:noProof/>
        </w:rPr>
        <w:t xml:space="preserve">como risco de ILC </w:t>
      </w:r>
      <w:r w:rsidR="00675835" w:rsidRPr="002F7079">
        <w:rPr>
          <w:rFonts w:cstheme="minorHAnsi"/>
          <w:noProof/>
        </w:rPr>
        <w:t xml:space="preserve">modificável </w:t>
      </w:r>
      <w:r w:rsidRPr="002F7079">
        <w:rPr>
          <w:rFonts w:cstheme="minorHAnsi"/>
          <w:noProof/>
        </w:rPr>
        <w:t xml:space="preserve">após ATJ o Não Cumprimento das </w:t>
      </w:r>
      <w:r w:rsidRPr="002F7079">
        <w:rPr>
          <w:rFonts w:cstheme="minorHAnsi"/>
          <w:i/>
          <w:iCs/>
          <w:noProof/>
        </w:rPr>
        <w:t>Guidelines</w:t>
      </w:r>
      <w:r w:rsidRPr="002F7079">
        <w:rPr>
          <w:rFonts w:cstheme="minorHAnsi"/>
          <w:noProof/>
        </w:rPr>
        <w:t xml:space="preserve"> protocoladas</w:t>
      </w:r>
      <w:r w:rsidR="007C450E" w:rsidRPr="002F7079">
        <w:rPr>
          <w:rFonts w:cstheme="minorHAnsi"/>
          <w:noProof/>
        </w:rPr>
        <w:t>, referindo-se</w:t>
      </w:r>
      <w:r w:rsidRPr="002F7079">
        <w:rPr>
          <w:rFonts w:cstheme="minorHAnsi"/>
          <w:noProof/>
        </w:rPr>
        <w:t xml:space="preserve"> às </w:t>
      </w:r>
      <w:r w:rsidRPr="002F7079">
        <w:rPr>
          <w:rFonts w:cstheme="minorHAnsi"/>
          <w:i/>
          <w:iCs/>
          <w:noProof/>
        </w:rPr>
        <w:t>guidelines</w:t>
      </w:r>
      <w:r w:rsidRPr="002F7079">
        <w:rPr>
          <w:rFonts w:cstheme="minorHAnsi"/>
          <w:noProof/>
        </w:rPr>
        <w:t xml:space="preserve"> em relação à antibioterapia no período perioperatório, à tricotomia no pré-operatório e às de profilaxia de tromboembolismo venoso</w:t>
      </w:r>
      <w:r w:rsidR="007C450E" w:rsidRPr="002F7079">
        <w:rPr>
          <w:rFonts w:cstheme="minorHAnsi"/>
          <w:noProof/>
        </w:rPr>
        <w:t>.</w:t>
      </w:r>
      <w:r w:rsidRPr="002F7079">
        <w:rPr>
          <w:rFonts w:cstheme="minorHAnsi"/>
          <w:noProof/>
        </w:rPr>
        <w:t xml:space="preserve"> Nesta última o uso de varfarina ou rivaroxabano aumentam o risco de ILC em </w:t>
      </w:r>
      <w:r w:rsidRPr="002F7079">
        <w:rPr>
          <w:rFonts w:cstheme="minorHAnsi"/>
          <w:noProof/>
        </w:rPr>
        <w:lastRenderedPageBreak/>
        <w:t>relação ao uso de aspirina ou dalteparina, embora os autores reconheçam a falta de con</w:t>
      </w:r>
      <w:r w:rsidR="00BF65D7" w:rsidRPr="002F7079">
        <w:rPr>
          <w:rFonts w:cstheme="minorHAnsi"/>
          <w:noProof/>
        </w:rPr>
        <w:t>senso</w:t>
      </w:r>
      <w:r w:rsidRPr="002F7079">
        <w:rPr>
          <w:rFonts w:cstheme="minorHAnsi"/>
          <w:noProof/>
        </w:rPr>
        <w:t xml:space="preserve">. </w:t>
      </w:r>
      <w:r w:rsidR="005139BB" w:rsidRPr="002F7079">
        <w:rPr>
          <w:rFonts w:cstheme="minorHAnsi"/>
          <w:noProof/>
        </w:rPr>
        <w:t>O</w:t>
      </w:r>
      <w:r w:rsidRPr="002F7079">
        <w:rPr>
          <w:rFonts w:cstheme="minorHAnsi"/>
          <w:noProof/>
        </w:rPr>
        <w:t xml:space="preserve">utros estudos reconhecem que a adesão às </w:t>
      </w:r>
      <w:r w:rsidRPr="002F7079">
        <w:rPr>
          <w:rFonts w:cstheme="minorHAnsi"/>
          <w:i/>
          <w:iCs/>
          <w:noProof/>
        </w:rPr>
        <w:t>guidelines</w:t>
      </w:r>
      <w:r w:rsidRPr="002F7079">
        <w:rPr>
          <w:rFonts w:cstheme="minorHAnsi"/>
          <w:noProof/>
        </w:rPr>
        <w:t xml:space="preserve"> contribuem para a redução do risco de ILC, uma vez que exige dos profissionais que todas as intervenções sejam realizadas corretamente (DGS, 2022</w:t>
      </w:r>
      <w:r w:rsidR="008E7A17" w:rsidRPr="002F7079">
        <w:rPr>
          <w:rFonts w:cstheme="minorHAnsi"/>
          <w:noProof/>
        </w:rPr>
        <w:t>b</w:t>
      </w:r>
      <w:r w:rsidRPr="002F7079">
        <w:rPr>
          <w:rFonts w:cstheme="minorHAnsi"/>
          <w:noProof/>
        </w:rPr>
        <w:t>; Fernandes, 2022; Martins &amp; Fernandes, 2019).</w:t>
      </w:r>
    </w:p>
    <w:p w14:paraId="54B13E76" w14:textId="77777777" w:rsidR="008E7A17" w:rsidRPr="002F7079" w:rsidRDefault="008E7A17" w:rsidP="002F7079">
      <w:pPr>
        <w:spacing w:after="0" w:line="360" w:lineRule="auto"/>
        <w:ind w:left="-170" w:right="-170"/>
        <w:jc w:val="both"/>
        <w:rPr>
          <w:rFonts w:cstheme="minorHAnsi"/>
        </w:rPr>
      </w:pPr>
    </w:p>
    <w:p w14:paraId="6FD02CE6" w14:textId="557A8699" w:rsidR="003707EA" w:rsidRPr="002F7079" w:rsidRDefault="006D0FA1" w:rsidP="002F7079">
      <w:pPr>
        <w:spacing w:after="120" w:line="360" w:lineRule="auto"/>
        <w:ind w:left="-170" w:right="-170"/>
        <w:jc w:val="both"/>
        <w:rPr>
          <w:rFonts w:cstheme="minorHAnsi"/>
          <w:b/>
          <w:bCs/>
        </w:rPr>
      </w:pPr>
      <w:r w:rsidRPr="002F7079">
        <w:rPr>
          <w:rFonts w:cstheme="minorHAnsi"/>
          <w:b/>
          <w:bCs/>
        </w:rPr>
        <w:t>CONCLUSÃO</w:t>
      </w:r>
    </w:p>
    <w:p w14:paraId="0347ECDF" w14:textId="21C33B55" w:rsidR="00BE5976" w:rsidRPr="002F7079" w:rsidRDefault="00BE5976" w:rsidP="002F7079">
      <w:pPr>
        <w:spacing w:after="0" w:line="360" w:lineRule="auto"/>
        <w:ind w:left="-170" w:right="-170"/>
        <w:jc w:val="both"/>
        <w:rPr>
          <w:rFonts w:cstheme="minorHAnsi"/>
        </w:rPr>
      </w:pPr>
      <w:r w:rsidRPr="002F7079">
        <w:rPr>
          <w:rFonts w:cstheme="minorHAnsi"/>
        </w:rPr>
        <w:t xml:space="preserve">Os fatores de risco de ILC são multifatoriais e </w:t>
      </w:r>
      <w:r w:rsidR="0040409E" w:rsidRPr="002F7079">
        <w:rPr>
          <w:rFonts w:cstheme="minorHAnsi"/>
        </w:rPr>
        <w:t>estão</w:t>
      </w:r>
      <w:r w:rsidRPr="002F7079">
        <w:rPr>
          <w:rFonts w:cstheme="minorHAnsi"/>
        </w:rPr>
        <w:t xml:space="preserve"> presentes em todo o período perioperatório, ou numa só fase, sendo classificados como modificáveis e não modificáveis. É importante a identificação e reconhecimento dos fatores de risco de ILC, para implementar medidas de prevenção e controle. Este estudo pode ser o impulso para a realização de estudos observacionais prospetivos, no sentido da medição do peso de cada fator de risco no aparecimento de </w:t>
      </w:r>
      <w:r w:rsidR="0069383C" w:rsidRPr="002F7079">
        <w:rPr>
          <w:rFonts w:cstheme="minorHAnsi"/>
        </w:rPr>
        <w:t>ILC</w:t>
      </w:r>
      <w:r w:rsidRPr="002F7079">
        <w:rPr>
          <w:rFonts w:cstheme="minorHAnsi"/>
        </w:rPr>
        <w:t xml:space="preserve"> e criação de modelos preditivos.</w:t>
      </w:r>
      <w:r w:rsidR="001723AC" w:rsidRPr="002F7079">
        <w:rPr>
          <w:rFonts w:cstheme="minorHAnsi"/>
        </w:rPr>
        <w:t xml:space="preserve"> </w:t>
      </w:r>
      <w:r w:rsidRPr="002F7079">
        <w:rPr>
          <w:rFonts w:cstheme="minorHAnsi"/>
        </w:rPr>
        <w:t>Também contribuirá para diminuir os custos para a Pessoa em Situação Perioperatória e Unidades de Saúde. A identificação dos Fatores de Risco Modificáveis permite ao Enfermeiro Especialista planear as intervenções em tempo útil minimizando os riscos de ILC. Já a identificação precoce dos Fatores de Risco Não Modificáveis, permite a criação de programas de estudo de caso para acompanhamento e vigilância.</w:t>
      </w:r>
    </w:p>
    <w:p w14:paraId="3F2728F0" w14:textId="77777777" w:rsidR="002F7079" w:rsidRPr="00AF0BBB" w:rsidRDefault="002F7079" w:rsidP="002F7079">
      <w:pPr>
        <w:spacing w:after="0" w:line="360" w:lineRule="auto"/>
        <w:ind w:left="-170" w:right="-170"/>
        <w:jc w:val="both"/>
        <w:rPr>
          <w:rFonts w:cstheme="minorHAnsi"/>
          <w:b/>
          <w:bCs/>
        </w:rPr>
      </w:pPr>
    </w:p>
    <w:p w14:paraId="13449621" w14:textId="2F8C946F" w:rsidR="00E6475B" w:rsidRPr="00C5502A" w:rsidRDefault="00A36ED1" w:rsidP="002F7079">
      <w:pPr>
        <w:spacing w:after="120" w:line="360" w:lineRule="auto"/>
        <w:ind w:left="-170" w:right="-170"/>
        <w:jc w:val="both"/>
        <w:rPr>
          <w:rFonts w:cstheme="minorHAnsi"/>
          <w:b/>
          <w:bCs/>
          <w:lang w:val="en-US"/>
        </w:rPr>
      </w:pPr>
      <w:r w:rsidRPr="00C5502A">
        <w:rPr>
          <w:rFonts w:cstheme="minorHAnsi"/>
          <w:b/>
          <w:bCs/>
          <w:lang w:val="en-US"/>
        </w:rPr>
        <w:t>REFERÊNCIAS BIBLIOGRÁFICAS</w:t>
      </w:r>
    </w:p>
    <w:p w14:paraId="77EFB4C7" w14:textId="5F67EB7F" w:rsidR="00EC50CB" w:rsidRDefault="00E6475B" w:rsidP="002F7079">
      <w:pPr>
        <w:spacing w:after="120" w:line="240" w:lineRule="auto"/>
        <w:ind w:left="-170" w:right="-170"/>
        <w:jc w:val="both"/>
        <w:rPr>
          <w:rFonts w:cstheme="minorHAnsi"/>
          <w:lang w:val="en-US"/>
        </w:rPr>
      </w:pPr>
      <w:r w:rsidRPr="00C5502A">
        <w:rPr>
          <w:rFonts w:cstheme="minorHAnsi"/>
          <w:lang w:val="en-US"/>
        </w:rPr>
        <w:t xml:space="preserve">Anthony, C. A., Peterson, R. A., </w:t>
      </w:r>
      <w:proofErr w:type="spellStart"/>
      <w:r w:rsidRPr="00C5502A">
        <w:rPr>
          <w:rFonts w:cstheme="minorHAnsi"/>
          <w:lang w:val="en-US"/>
        </w:rPr>
        <w:t>Polgreen</w:t>
      </w:r>
      <w:proofErr w:type="spellEnd"/>
      <w:r w:rsidRPr="00C5502A">
        <w:rPr>
          <w:rFonts w:cstheme="minorHAnsi"/>
          <w:lang w:val="en-US"/>
        </w:rPr>
        <w:t xml:space="preserve">, L. A., Sewell, D. K., &amp; </w:t>
      </w:r>
      <w:proofErr w:type="spellStart"/>
      <w:r w:rsidRPr="00C5502A">
        <w:rPr>
          <w:rFonts w:cstheme="minorHAnsi"/>
          <w:lang w:val="en-US"/>
        </w:rPr>
        <w:t>Polgreen</w:t>
      </w:r>
      <w:proofErr w:type="spellEnd"/>
      <w:r w:rsidRPr="00C5502A">
        <w:rPr>
          <w:rFonts w:cstheme="minorHAnsi"/>
          <w:lang w:val="en-US"/>
        </w:rPr>
        <w:t xml:space="preserve">, P. M. (2017). </w:t>
      </w:r>
      <w:r w:rsidR="00876156" w:rsidRPr="00C5502A">
        <w:rPr>
          <w:rFonts w:cstheme="minorHAnsi"/>
          <w:lang w:val="en-US"/>
        </w:rPr>
        <w:t>The seasonal variability in surgical site infections and the association with warmer weather: a population-based investigation</w:t>
      </w:r>
      <w:r w:rsidRPr="00C5502A">
        <w:rPr>
          <w:rFonts w:cstheme="minorHAnsi"/>
          <w:lang w:val="en-US"/>
        </w:rPr>
        <w:t xml:space="preserve">. </w:t>
      </w:r>
      <w:r w:rsidRPr="00C5502A">
        <w:rPr>
          <w:rFonts w:cstheme="minorHAnsi"/>
          <w:i/>
          <w:iCs/>
          <w:lang w:val="en-US"/>
        </w:rPr>
        <w:t xml:space="preserve">Infection </w:t>
      </w:r>
      <w:r w:rsidR="000C28CF" w:rsidRPr="00C5502A">
        <w:rPr>
          <w:rFonts w:cstheme="minorHAnsi"/>
          <w:i/>
          <w:iCs/>
          <w:lang w:val="en-US"/>
        </w:rPr>
        <w:t>C</w:t>
      </w:r>
      <w:r w:rsidRPr="00C5502A">
        <w:rPr>
          <w:rFonts w:cstheme="minorHAnsi"/>
          <w:i/>
          <w:iCs/>
          <w:lang w:val="en-US"/>
        </w:rPr>
        <w:t>ontrol &amp; Hospital Epidemiology</w:t>
      </w:r>
      <w:r w:rsidRPr="00C5502A">
        <w:rPr>
          <w:rFonts w:cstheme="minorHAnsi"/>
          <w:lang w:val="en-US"/>
        </w:rPr>
        <w:t xml:space="preserve">, </w:t>
      </w:r>
      <w:r w:rsidR="00942F44" w:rsidRPr="00C5502A">
        <w:rPr>
          <w:rFonts w:cstheme="minorHAnsi"/>
          <w:i/>
          <w:iCs/>
          <w:lang w:val="en-US"/>
        </w:rPr>
        <w:t>38</w:t>
      </w:r>
      <w:r w:rsidR="00942F44" w:rsidRPr="00C5502A">
        <w:rPr>
          <w:rFonts w:cstheme="minorHAnsi"/>
          <w:lang w:val="en-US"/>
        </w:rPr>
        <w:t xml:space="preserve">(7) </w:t>
      </w:r>
      <w:r w:rsidR="00DF5AA8" w:rsidRPr="00C5502A">
        <w:rPr>
          <w:rFonts w:cstheme="minorHAnsi"/>
          <w:lang w:val="en-US"/>
        </w:rPr>
        <w:t>809-816</w:t>
      </w:r>
      <w:r w:rsidRPr="00C5502A">
        <w:rPr>
          <w:rFonts w:cstheme="minorHAnsi"/>
          <w:lang w:val="en-US"/>
        </w:rPr>
        <w:t xml:space="preserve">. </w:t>
      </w:r>
      <w:r w:rsidRPr="00AF0BBB">
        <w:rPr>
          <w:rStyle w:val="Hiperligao"/>
          <w:lang w:val="en-US"/>
        </w:rPr>
        <w:t>http.//doi.org/10.1017/ice.2017.8</w:t>
      </w:r>
      <w:r w:rsidR="00FE7FCD" w:rsidRPr="00AF0BBB">
        <w:rPr>
          <w:rStyle w:val="Hiperligao"/>
          <w:lang w:val="en-US"/>
        </w:rPr>
        <w:t>4</w:t>
      </w:r>
    </w:p>
    <w:p w14:paraId="57234466" w14:textId="79F9CD16" w:rsidR="00E6475B" w:rsidRPr="00C5502A" w:rsidRDefault="00E6475B" w:rsidP="002F7079">
      <w:pPr>
        <w:spacing w:after="120" w:line="240" w:lineRule="auto"/>
        <w:ind w:left="-170" w:right="-170"/>
        <w:jc w:val="both"/>
        <w:rPr>
          <w:rFonts w:cstheme="minorHAnsi"/>
          <w:lang w:val="en-US"/>
        </w:rPr>
      </w:pPr>
      <w:proofErr w:type="spellStart"/>
      <w:r w:rsidRPr="00C5502A">
        <w:rPr>
          <w:rFonts w:cstheme="minorHAnsi"/>
          <w:lang w:val="en-US"/>
        </w:rPr>
        <w:t>Bachoura</w:t>
      </w:r>
      <w:proofErr w:type="spellEnd"/>
      <w:r w:rsidRPr="00C5502A">
        <w:rPr>
          <w:rFonts w:cstheme="minorHAnsi"/>
          <w:lang w:val="en-US"/>
        </w:rPr>
        <w:t xml:space="preserve">, A., Guitton, T. G., Smith, R. M., </w:t>
      </w:r>
      <w:proofErr w:type="spellStart"/>
      <w:r w:rsidRPr="00C5502A">
        <w:rPr>
          <w:rFonts w:cstheme="minorHAnsi"/>
          <w:lang w:val="en-US"/>
        </w:rPr>
        <w:t>Vrahas</w:t>
      </w:r>
      <w:proofErr w:type="spellEnd"/>
      <w:r w:rsidRPr="00C5502A">
        <w:rPr>
          <w:rFonts w:cstheme="minorHAnsi"/>
          <w:lang w:val="en-US"/>
        </w:rPr>
        <w:t xml:space="preserve">, M. S., Zurakowski, D., &amp; Ring, D. (2011). </w:t>
      </w:r>
      <w:r w:rsidR="003A7E21" w:rsidRPr="00C5502A">
        <w:rPr>
          <w:rFonts w:cstheme="minorHAnsi"/>
          <w:lang w:val="en-US"/>
        </w:rPr>
        <w:t>Infirmity and injury complexity are risk factors for surgical-site infection after operative fracture care</w:t>
      </w:r>
      <w:r w:rsidRPr="00C5502A">
        <w:rPr>
          <w:rFonts w:cstheme="minorHAnsi"/>
          <w:lang w:val="en-US"/>
        </w:rPr>
        <w:t xml:space="preserve">. </w:t>
      </w:r>
      <w:r w:rsidRPr="00C5502A">
        <w:rPr>
          <w:rFonts w:cstheme="minorHAnsi"/>
          <w:i/>
          <w:iCs/>
          <w:lang w:val="en-US"/>
        </w:rPr>
        <w:t xml:space="preserve">Clinical </w:t>
      </w:r>
      <w:proofErr w:type="spellStart"/>
      <w:r w:rsidRPr="00C5502A">
        <w:rPr>
          <w:rFonts w:cstheme="minorHAnsi"/>
          <w:i/>
          <w:iCs/>
          <w:lang w:val="en-US"/>
        </w:rPr>
        <w:t>Orthopaedics</w:t>
      </w:r>
      <w:proofErr w:type="spellEnd"/>
      <w:r w:rsidRPr="00C5502A">
        <w:rPr>
          <w:rFonts w:cstheme="minorHAnsi"/>
          <w:i/>
          <w:iCs/>
          <w:lang w:val="en-US"/>
        </w:rPr>
        <w:t xml:space="preserve"> and Related Research, 469</w:t>
      </w:r>
      <w:r w:rsidRPr="00C5502A">
        <w:rPr>
          <w:rFonts w:cstheme="minorHAnsi"/>
          <w:lang w:val="en-US"/>
        </w:rPr>
        <w:t xml:space="preserve">(9), 2621-2630. </w:t>
      </w:r>
      <w:hyperlink r:id="rId20" w:history="1">
        <w:r w:rsidR="00D30959" w:rsidRPr="00AF0BBB">
          <w:rPr>
            <w:rStyle w:val="Hiperligao"/>
            <w:lang w:val="en-US"/>
          </w:rPr>
          <w:t>http://doi.org/10.1007/s11999-010-1737-2</w:t>
        </w:r>
      </w:hyperlink>
    </w:p>
    <w:p w14:paraId="724FCF8C" w14:textId="2344F16D" w:rsidR="00A150C8" w:rsidRPr="00C5502A" w:rsidRDefault="00A150C8" w:rsidP="002F7079">
      <w:pPr>
        <w:spacing w:after="120" w:line="240" w:lineRule="auto"/>
        <w:ind w:left="-170" w:right="-170"/>
        <w:jc w:val="both"/>
        <w:rPr>
          <w:rFonts w:cstheme="minorHAnsi"/>
        </w:rPr>
      </w:pPr>
      <w:r w:rsidRPr="00C5502A">
        <w:rPr>
          <w:rFonts w:cstheme="minorHAnsi"/>
          <w:lang w:val="en-US"/>
        </w:rPr>
        <w:t xml:space="preserve">Badge, H. M., Churches, T., Naylor, J. M., Xuan, W., Armstrong, E., Gray, L., Fletcher, J., </w:t>
      </w:r>
      <w:proofErr w:type="spellStart"/>
      <w:r w:rsidRPr="00C5502A">
        <w:rPr>
          <w:rFonts w:cstheme="minorHAnsi"/>
          <w:lang w:val="en-US"/>
        </w:rPr>
        <w:t>Gosbell</w:t>
      </w:r>
      <w:proofErr w:type="spellEnd"/>
      <w:r w:rsidRPr="00C5502A">
        <w:rPr>
          <w:rFonts w:cstheme="minorHAnsi"/>
          <w:lang w:val="en-US"/>
        </w:rPr>
        <w:t xml:space="preserve">, I., Lin, C., &amp; Harris, I. A. (2021). Non-compliance with clinical guidelines increases the risk of complications after primary total hip and knee joint replacement surgery. </w:t>
      </w:r>
      <w:proofErr w:type="spellStart"/>
      <w:r w:rsidRPr="00C5502A">
        <w:rPr>
          <w:rFonts w:cstheme="minorHAnsi"/>
          <w:i/>
          <w:iCs/>
        </w:rPr>
        <w:t>PloS</w:t>
      </w:r>
      <w:proofErr w:type="spellEnd"/>
      <w:r w:rsidRPr="00C5502A">
        <w:rPr>
          <w:rFonts w:cstheme="minorHAnsi"/>
          <w:i/>
          <w:iCs/>
        </w:rPr>
        <w:t xml:space="preserve"> </w:t>
      </w:r>
      <w:proofErr w:type="spellStart"/>
      <w:r w:rsidRPr="00C5502A">
        <w:rPr>
          <w:rFonts w:cstheme="minorHAnsi"/>
          <w:i/>
          <w:iCs/>
        </w:rPr>
        <w:t>One</w:t>
      </w:r>
      <w:proofErr w:type="spellEnd"/>
      <w:r w:rsidRPr="00C5502A">
        <w:rPr>
          <w:rFonts w:cstheme="minorHAnsi"/>
          <w:i/>
          <w:iCs/>
        </w:rPr>
        <w:t>, 16</w:t>
      </w:r>
      <w:r w:rsidRPr="00C5502A">
        <w:rPr>
          <w:rFonts w:cstheme="minorHAnsi"/>
        </w:rPr>
        <w:t xml:space="preserve">(11). </w:t>
      </w:r>
      <w:hyperlink r:id="rId21" w:history="1">
        <w:r w:rsidRPr="00FE7FCD">
          <w:rPr>
            <w:rStyle w:val="Hiperligao"/>
          </w:rPr>
          <w:t>https://doi.org/10.1371/journal.pone.0260146</w:t>
        </w:r>
      </w:hyperlink>
    </w:p>
    <w:p w14:paraId="1DA555B6" w14:textId="0AE7C063" w:rsidR="00E6475B" w:rsidRPr="00C5502A" w:rsidRDefault="00E6475B" w:rsidP="002F7079">
      <w:pPr>
        <w:spacing w:after="120" w:line="240" w:lineRule="auto"/>
        <w:ind w:left="-170" w:right="-170"/>
        <w:jc w:val="both"/>
        <w:rPr>
          <w:rFonts w:cstheme="minorHAnsi"/>
          <w:lang w:val="en-US"/>
        </w:rPr>
      </w:pPr>
      <w:proofErr w:type="spellStart"/>
      <w:r w:rsidRPr="00C5502A">
        <w:rPr>
          <w:rFonts w:cstheme="minorHAnsi"/>
        </w:rPr>
        <w:t>Bakri</w:t>
      </w:r>
      <w:proofErr w:type="spellEnd"/>
      <w:r w:rsidRPr="00C5502A">
        <w:rPr>
          <w:rFonts w:cstheme="minorHAnsi"/>
        </w:rPr>
        <w:t xml:space="preserve">, M., da Silva, I., Amaro, M., Moreira, H., &amp; </w:t>
      </w:r>
      <w:proofErr w:type="spellStart"/>
      <w:r w:rsidRPr="00C5502A">
        <w:rPr>
          <w:rFonts w:cstheme="minorHAnsi"/>
        </w:rPr>
        <w:t>Naufel</w:t>
      </w:r>
      <w:proofErr w:type="spellEnd"/>
      <w:r w:rsidRPr="00C5502A">
        <w:rPr>
          <w:rFonts w:cstheme="minorHAnsi"/>
        </w:rPr>
        <w:t xml:space="preserve">-Júnior, C. (2021). </w:t>
      </w:r>
      <w:r w:rsidRPr="00C5502A">
        <w:rPr>
          <w:rFonts w:cstheme="minorHAnsi"/>
          <w:lang w:val="en-US"/>
        </w:rPr>
        <w:t xml:space="preserve">What are the main risk factors for surgical site </w:t>
      </w:r>
      <w:r w:rsidR="00C2519D" w:rsidRPr="00C5502A">
        <w:rPr>
          <w:rFonts w:cstheme="minorHAnsi"/>
          <w:lang w:val="en-US"/>
        </w:rPr>
        <w:t>infection?</w:t>
      </w:r>
      <w:r w:rsidRPr="00C5502A">
        <w:rPr>
          <w:rFonts w:cstheme="minorHAnsi"/>
          <w:lang w:val="en-US"/>
        </w:rPr>
        <w:t xml:space="preserve"> </w:t>
      </w:r>
      <w:r w:rsidRPr="00C5502A">
        <w:rPr>
          <w:rFonts w:cstheme="minorHAnsi"/>
          <w:i/>
          <w:iCs/>
          <w:lang w:val="en-US"/>
        </w:rPr>
        <w:t xml:space="preserve">Rev. </w:t>
      </w:r>
      <w:proofErr w:type="spellStart"/>
      <w:r w:rsidRPr="00C5502A">
        <w:rPr>
          <w:rFonts w:cstheme="minorHAnsi"/>
          <w:i/>
          <w:iCs/>
          <w:lang w:val="en-US"/>
        </w:rPr>
        <w:t>Méd</w:t>
      </w:r>
      <w:proofErr w:type="spellEnd"/>
      <w:r w:rsidRPr="00C5502A">
        <w:rPr>
          <w:rFonts w:cstheme="minorHAnsi"/>
          <w:i/>
          <w:iCs/>
          <w:lang w:val="en-US"/>
        </w:rPr>
        <w:t>. Paraná, 79</w:t>
      </w:r>
      <w:r w:rsidRPr="00C5502A">
        <w:rPr>
          <w:rFonts w:cstheme="minorHAnsi"/>
          <w:lang w:val="en-US"/>
        </w:rPr>
        <w:t xml:space="preserve">(Supl.1), 71-74. </w:t>
      </w:r>
      <w:hyperlink r:id="rId22" w:history="1">
        <w:r w:rsidRPr="00AF0BBB">
          <w:rPr>
            <w:rStyle w:val="Hiperligao"/>
            <w:lang w:val="en-US"/>
          </w:rPr>
          <w:t>http://doi.org/10.55684/79.2.1687</w:t>
        </w:r>
      </w:hyperlink>
    </w:p>
    <w:p w14:paraId="06EF6FF5" w14:textId="48AC507F" w:rsidR="00A150C8" w:rsidRPr="00C5502A" w:rsidRDefault="00E6475B" w:rsidP="002F7079">
      <w:pPr>
        <w:spacing w:after="120" w:line="240" w:lineRule="auto"/>
        <w:ind w:left="-170" w:right="-170"/>
        <w:jc w:val="both"/>
        <w:rPr>
          <w:rFonts w:cstheme="minorHAnsi"/>
          <w:lang w:val="en-US"/>
        </w:rPr>
      </w:pPr>
      <w:r w:rsidRPr="00C5502A">
        <w:rPr>
          <w:rFonts w:cstheme="minorHAnsi"/>
          <w:lang w:val="en-US"/>
        </w:rPr>
        <w:t xml:space="preserve">Bhave, A., &amp; Baker, E. (2015). </w:t>
      </w:r>
      <w:r w:rsidRPr="00C5502A">
        <w:rPr>
          <w:rFonts w:cstheme="minorHAnsi"/>
          <w:i/>
          <w:iCs/>
          <w:lang w:val="en-US"/>
        </w:rPr>
        <w:t xml:space="preserve">Rehabilitation protocol. Total Knee </w:t>
      </w:r>
      <w:proofErr w:type="spellStart"/>
      <w:r w:rsidRPr="00C5502A">
        <w:rPr>
          <w:rFonts w:cstheme="minorHAnsi"/>
          <w:i/>
          <w:iCs/>
          <w:lang w:val="en-US"/>
        </w:rPr>
        <w:t>Arthrosplasty</w:t>
      </w:r>
      <w:proofErr w:type="spellEnd"/>
      <w:r w:rsidRPr="00C5502A">
        <w:rPr>
          <w:rFonts w:cstheme="minorHAnsi"/>
          <w:lang w:val="en-US"/>
        </w:rPr>
        <w:t xml:space="preserve">. Sinai Hospital: Rubin Institute of Advanced Orthopedics. </w:t>
      </w:r>
      <w:hyperlink r:id="rId23" w:history="1">
        <w:r w:rsidR="00A150C8" w:rsidRPr="00AF0BBB">
          <w:rPr>
            <w:rStyle w:val="Hiperligao"/>
            <w:lang w:val="en-US"/>
          </w:rPr>
          <w:t>https://alterg.com/wp-content/uploads/2018/06/Total-Knee-Arthroplasty.pdf</w:t>
        </w:r>
      </w:hyperlink>
    </w:p>
    <w:p w14:paraId="726F407B" w14:textId="186F7530" w:rsidR="00E6475B" w:rsidRPr="00AF0BBB" w:rsidRDefault="00E6475B" w:rsidP="002F7079">
      <w:pPr>
        <w:spacing w:after="120" w:line="240" w:lineRule="auto"/>
        <w:ind w:left="-170" w:right="-170"/>
        <w:jc w:val="both"/>
        <w:rPr>
          <w:rStyle w:val="Hiperligao"/>
          <w:rFonts w:cstheme="minorHAnsi"/>
          <w:color w:val="auto"/>
          <w:lang w:val="en-US"/>
        </w:rPr>
      </w:pPr>
      <w:r w:rsidRPr="00C5502A">
        <w:rPr>
          <w:rFonts w:cstheme="minorHAnsi"/>
          <w:lang w:val="en-US"/>
        </w:rPr>
        <w:t xml:space="preserve">Bozic, K., Lau, E., Kurtz, S., Ong, K., &amp; Berry, D. (2012). </w:t>
      </w:r>
      <w:r w:rsidR="006124C5" w:rsidRPr="00C5502A">
        <w:rPr>
          <w:rFonts w:cstheme="minorHAnsi"/>
          <w:lang w:val="en-US"/>
        </w:rPr>
        <w:t xml:space="preserve">Patient-related risk factors for postoperative mortality and periprosthetic joint infection in </w:t>
      </w:r>
      <w:proofErr w:type="spellStart"/>
      <w:r w:rsidR="006124C5" w:rsidRPr="00C5502A">
        <w:rPr>
          <w:rFonts w:cstheme="minorHAnsi"/>
          <w:lang w:val="en-US"/>
        </w:rPr>
        <w:t>medicare</w:t>
      </w:r>
      <w:proofErr w:type="spellEnd"/>
      <w:r w:rsidR="006124C5" w:rsidRPr="00C5502A">
        <w:rPr>
          <w:rFonts w:cstheme="minorHAnsi"/>
          <w:lang w:val="en-US"/>
        </w:rPr>
        <w:t xml:space="preserve"> patients undergoing</w:t>
      </w:r>
      <w:r w:rsidRPr="00C5502A">
        <w:rPr>
          <w:rFonts w:cstheme="minorHAnsi"/>
          <w:lang w:val="en-US"/>
        </w:rPr>
        <w:t xml:space="preserve"> TKA. </w:t>
      </w:r>
      <w:r w:rsidRPr="00AF0BBB">
        <w:rPr>
          <w:rFonts w:cstheme="minorHAnsi"/>
          <w:i/>
          <w:iCs/>
          <w:lang w:val="en-US"/>
        </w:rPr>
        <w:t xml:space="preserve">Clinical </w:t>
      </w:r>
      <w:proofErr w:type="spellStart"/>
      <w:r w:rsidRPr="00AF0BBB">
        <w:rPr>
          <w:rFonts w:cstheme="minorHAnsi"/>
          <w:i/>
          <w:iCs/>
          <w:lang w:val="en-US"/>
        </w:rPr>
        <w:t>Orthopaedics</w:t>
      </w:r>
      <w:proofErr w:type="spellEnd"/>
      <w:r w:rsidRPr="00AF0BBB">
        <w:rPr>
          <w:rFonts w:cstheme="minorHAnsi"/>
          <w:i/>
          <w:iCs/>
          <w:lang w:val="en-US"/>
        </w:rPr>
        <w:t xml:space="preserve"> and Related Research, 470</w:t>
      </w:r>
      <w:r w:rsidRPr="00AF0BBB">
        <w:rPr>
          <w:rFonts w:cstheme="minorHAnsi"/>
          <w:lang w:val="en-US"/>
        </w:rPr>
        <w:t xml:space="preserve">(1), 130-137. </w:t>
      </w:r>
      <w:hyperlink r:id="rId24" w:history="1">
        <w:r w:rsidR="00D30959" w:rsidRPr="00AF0BBB">
          <w:rPr>
            <w:rStyle w:val="Hiperligao"/>
            <w:lang w:val="en-US"/>
          </w:rPr>
          <w:t>http://doi.org/10.1007/s11999-011-2043-3</w:t>
        </w:r>
      </w:hyperlink>
    </w:p>
    <w:p w14:paraId="5853D125" w14:textId="3E90C409" w:rsidR="00E6475B" w:rsidRPr="00C5502A" w:rsidRDefault="00E6475B" w:rsidP="002F7079">
      <w:pPr>
        <w:spacing w:after="120" w:line="240" w:lineRule="auto"/>
        <w:ind w:left="-170" w:right="-170"/>
        <w:jc w:val="both"/>
        <w:rPr>
          <w:rFonts w:cstheme="minorHAnsi"/>
        </w:rPr>
      </w:pPr>
      <w:r w:rsidRPr="00AF0BBB">
        <w:rPr>
          <w:rFonts w:cstheme="minorHAnsi"/>
          <w:lang w:val="en-US"/>
        </w:rPr>
        <w:t xml:space="preserve">Branco, J.C., Rodrigues, A.M., Gouveia, N., Eusébio, M., Ramiro, S., Machado, P.M., Costa, </w:t>
      </w:r>
      <w:r w:rsidR="003C3EAE" w:rsidRPr="00AF0BBB">
        <w:rPr>
          <w:rFonts w:cstheme="minorHAnsi"/>
          <w:lang w:val="en-US"/>
        </w:rPr>
        <w:t>…</w:t>
      </w:r>
      <w:r w:rsidRPr="00AF0BBB">
        <w:rPr>
          <w:rFonts w:cstheme="minorHAnsi"/>
          <w:lang w:val="en-US"/>
        </w:rPr>
        <w:t xml:space="preserve"> Canhão, H. (2016). </w:t>
      </w:r>
      <w:r w:rsidRPr="00C5502A">
        <w:rPr>
          <w:rFonts w:cstheme="minorHAnsi"/>
          <w:lang w:val="en-US"/>
        </w:rPr>
        <w:t xml:space="preserve">Prevalence of rheumatic and their impact on health-related quality of life, physical function and mental health in Portugal: results from </w:t>
      </w:r>
      <w:proofErr w:type="spellStart"/>
      <w:r w:rsidRPr="00C5502A">
        <w:rPr>
          <w:rFonts w:cstheme="minorHAnsi"/>
          <w:lang w:val="en-US"/>
        </w:rPr>
        <w:t>EpiReumaPt</w:t>
      </w:r>
      <w:proofErr w:type="spellEnd"/>
      <w:r w:rsidRPr="00C5502A">
        <w:rPr>
          <w:rFonts w:cstheme="minorHAnsi"/>
          <w:lang w:val="en-US"/>
        </w:rPr>
        <w:t xml:space="preserve"> - a national health survey. </w:t>
      </w:r>
      <w:proofErr w:type="spellStart"/>
      <w:r w:rsidRPr="00C5502A">
        <w:rPr>
          <w:rFonts w:cstheme="minorHAnsi"/>
          <w:i/>
          <w:iCs/>
        </w:rPr>
        <w:t>Rheumatic</w:t>
      </w:r>
      <w:proofErr w:type="spellEnd"/>
      <w:r w:rsidR="007A0A45" w:rsidRPr="00C5502A">
        <w:rPr>
          <w:rFonts w:cstheme="minorHAnsi"/>
          <w:i/>
          <w:iCs/>
        </w:rPr>
        <w:t xml:space="preserve"> </w:t>
      </w:r>
      <w:r w:rsidRPr="00C5502A">
        <w:rPr>
          <w:rFonts w:cstheme="minorHAnsi"/>
          <w:i/>
          <w:iCs/>
        </w:rPr>
        <w:t>&amp;</w:t>
      </w:r>
      <w:r w:rsidR="007A0A45" w:rsidRPr="00C5502A">
        <w:rPr>
          <w:rFonts w:cstheme="minorHAnsi"/>
          <w:i/>
          <w:iCs/>
        </w:rPr>
        <w:t xml:space="preserve"> </w:t>
      </w:r>
      <w:proofErr w:type="spellStart"/>
      <w:r w:rsidRPr="00C5502A">
        <w:rPr>
          <w:rFonts w:cstheme="minorHAnsi"/>
          <w:i/>
          <w:iCs/>
        </w:rPr>
        <w:t>Musculoskeletal</w:t>
      </w:r>
      <w:proofErr w:type="spellEnd"/>
      <w:r w:rsidRPr="00C5502A">
        <w:rPr>
          <w:rFonts w:cstheme="minorHAnsi"/>
          <w:i/>
          <w:iCs/>
        </w:rPr>
        <w:t xml:space="preserve"> </w:t>
      </w:r>
      <w:proofErr w:type="spellStart"/>
      <w:r w:rsidRPr="00C5502A">
        <w:rPr>
          <w:rFonts w:cstheme="minorHAnsi"/>
          <w:i/>
          <w:iCs/>
        </w:rPr>
        <w:t>Diseases</w:t>
      </w:r>
      <w:proofErr w:type="spellEnd"/>
      <w:r w:rsidR="008A0B95" w:rsidRPr="00C5502A">
        <w:rPr>
          <w:rFonts w:cstheme="minorHAnsi"/>
          <w:i/>
          <w:iCs/>
        </w:rPr>
        <w:t>,</w:t>
      </w:r>
      <w:r w:rsidRPr="00C5502A">
        <w:rPr>
          <w:rFonts w:cstheme="minorHAnsi"/>
          <w:i/>
          <w:iCs/>
        </w:rPr>
        <w:t xml:space="preserve"> 2</w:t>
      </w:r>
      <w:r w:rsidRPr="00C5502A">
        <w:rPr>
          <w:rFonts w:cstheme="minorHAnsi"/>
        </w:rPr>
        <w:t xml:space="preserve">(1), 1-12. </w:t>
      </w:r>
      <w:hyperlink r:id="rId25" w:history="1">
        <w:r w:rsidR="00D30959" w:rsidRPr="00FE7FCD">
          <w:rPr>
            <w:rStyle w:val="Hiperligao"/>
          </w:rPr>
          <w:t>http://doi.org/10.1136/rmdopen-2015-000166</w:t>
        </w:r>
      </w:hyperlink>
    </w:p>
    <w:p w14:paraId="5DB7A99E" w14:textId="17DDB168" w:rsidR="00E6475B" w:rsidRPr="00C5502A" w:rsidRDefault="00E6475B" w:rsidP="002F7079">
      <w:pPr>
        <w:spacing w:after="120" w:line="240" w:lineRule="auto"/>
        <w:ind w:left="-170" w:right="-170"/>
        <w:jc w:val="both"/>
        <w:rPr>
          <w:rFonts w:cstheme="minorHAnsi"/>
        </w:rPr>
      </w:pPr>
      <w:r w:rsidRPr="00C5502A">
        <w:rPr>
          <w:rFonts w:cstheme="minorHAnsi"/>
        </w:rPr>
        <w:t xml:space="preserve">Carvalho, R. L., Campos, C. C., Franco, L. M., Rocha, A. D., &amp; </w:t>
      </w:r>
      <w:proofErr w:type="spellStart"/>
      <w:r w:rsidRPr="00C5502A">
        <w:rPr>
          <w:rFonts w:cstheme="minorHAnsi"/>
        </w:rPr>
        <w:t>Ercole</w:t>
      </w:r>
      <w:proofErr w:type="spellEnd"/>
      <w:r w:rsidRPr="00C5502A">
        <w:rPr>
          <w:rFonts w:cstheme="minorHAnsi"/>
        </w:rPr>
        <w:t xml:space="preserve">, F. F. (2017). </w:t>
      </w:r>
      <w:proofErr w:type="spellStart"/>
      <w:r w:rsidRPr="00C5502A">
        <w:rPr>
          <w:rFonts w:cstheme="minorHAnsi"/>
        </w:rPr>
        <w:t>Incidence</w:t>
      </w:r>
      <w:proofErr w:type="spellEnd"/>
      <w:r w:rsidRPr="00C5502A">
        <w:rPr>
          <w:rFonts w:cstheme="minorHAnsi"/>
        </w:rPr>
        <w:t xml:space="preserve"> </w:t>
      </w:r>
      <w:proofErr w:type="spellStart"/>
      <w:r w:rsidRPr="00C5502A">
        <w:rPr>
          <w:rFonts w:cstheme="minorHAnsi"/>
        </w:rPr>
        <w:t>and</w:t>
      </w:r>
      <w:proofErr w:type="spellEnd"/>
      <w:r w:rsidRPr="00C5502A">
        <w:rPr>
          <w:rFonts w:cstheme="minorHAnsi"/>
        </w:rPr>
        <w:t xml:space="preserve"> </w:t>
      </w:r>
      <w:proofErr w:type="spellStart"/>
      <w:r w:rsidRPr="00C5502A">
        <w:rPr>
          <w:rFonts w:cstheme="minorHAnsi"/>
        </w:rPr>
        <w:t>risk</w:t>
      </w:r>
      <w:proofErr w:type="spellEnd"/>
      <w:r w:rsidRPr="00C5502A">
        <w:rPr>
          <w:rFonts w:cstheme="minorHAnsi"/>
        </w:rPr>
        <w:t xml:space="preserve"> </w:t>
      </w:r>
      <w:proofErr w:type="spellStart"/>
      <w:r w:rsidRPr="00C5502A">
        <w:rPr>
          <w:rFonts w:cstheme="minorHAnsi"/>
        </w:rPr>
        <w:t>factors</w:t>
      </w:r>
      <w:proofErr w:type="spellEnd"/>
      <w:r w:rsidRPr="00C5502A">
        <w:rPr>
          <w:rFonts w:cstheme="minorHAnsi"/>
        </w:rPr>
        <w:t xml:space="preserve"> for </w:t>
      </w:r>
      <w:proofErr w:type="spellStart"/>
      <w:r w:rsidRPr="00C5502A">
        <w:rPr>
          <w:rFonts w:cstheme="minorHAnsi"/>
        </w:rPr>
        <w:t>surgical</w:t>
      </w:r>
      <w:proofErr w:type="spellEnd"/>
      <w:r w:rsidRPr="00C5502A">
        <w:rPr>
          <w:rFonts w:cstheme="minorHAnsi"/>
        </w:rPr>
        <w:t xml:space="preserve"> site </w:t>
      </w:r>
      <w:proofErr w:type="spellStart"/>
      <w:r w:rsidRPr="00C5502A">
        <w:rPr>
          <w:rFonts w:cstheme="minorHAnsi"/>
        </w:rPr>
        <w:t>infection</w:t>
      </w:r>
      <w:proofErr w:type="spellEnd"/>
      <w:r w:rsidRPr="00C5502A">
        <w:rPr>
          <w:rFonts w:cstheme="minorHAnsi"/>
        </w:rPr>
        <w:t xml:space="preserve">. </w:t>
      </w:r>
      <w:r w:rsidRPr="00C5502A">
        <w:rPr>
          <w:rFonts w:cstheme="minorHAnsi"/>
          <w:i/>
          <w:iCs/>
        </w:rPr>
        <w:t>Revista Latino-Americana de Enfermagem, 25</w:t>
      </w:r>
      <w:r w:rsidRPr="00C5502A">
        <w:rPr>
          <w:rFonts w:cstheme="minorHAnsi"/>
        </w:rPr>
        <w:t xml:space="preserve">. </w:t>
      </w:r>
      <w:hyperlink r:id="rId26" w:history="1">
        <w:r w:rsidR="00D30959" w:rsidRPr="00FE7FCD">
          <w:rPr>
            <w:rStyle w:val="Hiperligao"/>
          </w:rPr>
          <w:t>http://doi.org/10.1590/1518-8345.1502.2848</w:t>
        </w:r>
      </w:hyperlink>
    </w:p>
    <w:p w14:paraId="36ABE6E7" w14:textId="787EE5E7" w:rsidR="00E6475B" w:rsidRPr="00C5502A" w:rsidRDefault="00E6475B" w:rsidP="002F7079">
      <w:pPr>
        <w:spacing w:after="120" w:line="240" w:lineRule="auto"/>
        <w:ind w:left="-170" w:right="-170"/>
        <w:jc w:val="both"/>
        <w:rPr>
          <w:rFonts w:cstheme="minorHAnsi"/>
        </w:rPr>
      </w:pPr>
      <w:r w:rsidRPr="00C5502A">
        <w:rPr>
          <w:rFonts w:cstheme="minorHAnsi"/>
        </w:rPr>
        <w:t xml:space="preserve">Coutinho, B. D., Ribeiro, A. D., Oliveira, S. M., Miranda, M. K., &amp; </w:t>
      </w:r>
      <w:proofErr w:type="spellStart"/>
      <w:r w:rsidRPr="00C5502A">
        <w:rPr>
          <w:rFonts w:cstheme="minorHAnsi"/>
        </w:rPr>
        <w:t>Gouvêa</w:t>
      </w:r>
      <w:proofErr w:type="spellEnd"/>
      <w:r w:rsidRPr="00C5502A">
        <w:rPr>
          <w:rFonts w:cstheme="minorHAnsi"/>
        </w:rPr>
        <w:t>-</w:t>
      </w:r>
      <w:proofErr w:type="spellStart"/>
      <w:r w:rsidRPr="00C5502A">
        <w:rPr>
          <w:rFonts w:cstheme="minorHAnsi"/>
        </w:rPr>
        <w:t>e-Silva</w:t>
      </w:r>
      <w:proofErr w:type="spellEnd"/>
      <w:r w:rsidRPr="00C5502A">
        <w:rPr>
          <w:rFonts w:cstheme="minorHAnsi"/>
        </w:rPr>
        <w:t xml:space="preserve">, L. F. (2022). </w:t>
      </w:r>
      <w:proofErr w:type="spellStart"/>
      <w:r w:rsidRPr="00C5502A">
        <w:rPr>
          <w:rFonts w:cstheme="minorHAnsi"/>
        </w:rPr>
        <w:t>Infecções</w:t>
      </w:r>
      <w:proofErr w:type="spellEnd"/>
      <w:r w:rsidRPr="00C5502A">
        <w:rPr>
          <w:rFonts w:cstheme="minorHAnsi"/>
        </w:rPr>
        <w:t xml:space="preserve"> de sítio cirúrgico em cirurgias ortopédicas de um hospital do estado do Pará, Brasil</w:t>
      </w:r>
      <w:r w:rsidRPr="00C5502A">
        <w:rPr>
          <w:rFonts w:cstheme="minorHAnsi"/>
          <w:i/>
          <w:iCs/>
        </w:rPr>
        <w:t xml:space="preserve">. </w:t>
      </w:r>
      <w:proofErr w:type="spellStart"/>
      <w:r w:rsidRPr="00C5502A">
        <w:rPr>
          <w:rFonts w:cstheme="minorHAnsi"/>
          <w:i/>
          <w:iCs/>
        </w:rPr>
        <w:t>Av</w:t>
      </w:r>
      <w:proofErr w:type="spellEnd"/>
      <w:r w:rsidRPr="00C5502A">
        <w:rPr>
          <w:rFonts w:cstheme="minorHAnsi"/>
          <w:i/>
          <w:iCs/>
        </w:rPr>
        <w:t xml:space="preserve"> </w:t>
      </w:r>
      <w:proofErr w:type="spellStart"/>
      <w:r w:rsidRPr="00C5502A">
        <w:rPr>
          <w:rFonts w:cstheme="minorHAnsi"/>
          <w:i/>
          <w:iCs/>
        </w:rPr>
        <w:t>Enferm</w:t>
      </w:r>
      <w:proofErr w:type="spellEnd"/>
      <w:r w:rsidRPr="00C5502A">
        <w:rPr>
          <w:rFonts w:cstheme="minorHAnsi"/>
          <w:i/>
          <w:iCs/>
        </w:rPr>
        <w:t>, 40</w:t>
      </w:r>
      <w:r w:rsidRPr="00C5502A">
        <w:rPr>
          <w:rFonts w:cstheme="minorHAnsi"/>
        </w:rPr>
        <w:t xml:space="preserve">(3). </w:t>
      </w:r>
      <w:hyperlink r:id="rId27" w:history="1">
        <w:r w:rsidR="00D30959" w:rsidRPr="00FE7FCD">
          <w:rPr>
            <w:rStyle w:val="Hiperligao"/>
          </w:rPr>
          <w:t>http://doi.org/10.15446/av.enferm.v40n3.93397</w:t>
        </w:r>
      </w:hyperlink>
    </w:p>
    <w:p w14:paraId="35184850" w14:textId="315369CE" w:rsidR="000F7C54" w:rsidRPr="00FE7FCD" w:rsidRDefault="000F7C54" w:rsidP="002F7079">
      <w:pPr>
        <w:spacing w:after="120" w:line="240" w:lineRule="auto"/>
        <w:ind w:left="-170" w:right="-170"/>
        <w:jc w:val="both"/>
        <w:rPr>
          <w:rStyle w:val="Hiperligao"/>
        </w:rPr>
      </w:pPr>
      <w:r w:rsidRPr="00C5502A">
        <w:rPr>
          <w:rFonts w:cstheme="minorHAnsi"/>
        </w:rPr>
        <w:t>Despacho n.º 9390/2021</w:t>
      </w:r>
      <w:r w:rsidR="00105385" w:rsidRPr="00C5502A">
        <w:rPr>
          <w:rFonts w:cstheme="minorHAnsi"/>
        </w:rPr>
        <w:t xml:space="preserve">, de </w:t>
      </w:r>
      <w:r w:rsidR="00423608" w:rsidRPr="00C5502A">
        <w:rPr>
          <w:rFonts w:cstheme="minorHAnsi"/>
        </w:rPr>
        <w:t xml:space="preserve">24 de setembro. </w:t>
      </w:r>
      <w:r w:rsidR="00766C41" w:rsidRPr="00C5502A">
        <w:rPr>
          <w:rFonts w:cstheme="minorHAnsi"/>
        </w:rPr>
        <w:t xml:space="preserve">Plano Nacional para a Segurança dos Doentes 2021-2026 </w:t>
      </w:r>
      <w:r w:rsidR="00766C41" w:rsidRPr="00C5502A">
        <w:rPr>
          <w:rFonts w:cstheme="minorHAnsi"/>
        </w:rPr>
        <w:lastRenderedPageBreak/>
        <w:t xml:space="preserve">(PNSD 2021-2026). </w:t>
      </w:r>
      <w:r w:rsidRPr="00C5502A">
        <w:rPr>
          <w:rFonts w:cstheme="minorHAnsi"/>
          <w:i/>
          <w:iCs/>
        </w:rPr>
        <w:t>Diário da República</w:t>
      </w:r>
      <w:r w:rsidR="00871496" w:rsidRPr="00C5502A">
        <w:rPr>
          <w:rFonts w:cstheme="minorHAnsi"/>
          <w:i/>
          <w:iCs/>
        </w:rPr>
        <w:t>, Série II</w:t>
      </w:r>
      <w:r w:rsidR="00E935D4" w:rsidRPr="00C5502A">
        <w:rPr>
          <w:rFonts w:cstheme="minorHAnsi"/>
          <w:i/>
          <w:iCs/>
        </w:rPr>
        <w:t xml:space="preserve"> </w:t>
      </w:r>
      <w:r w:rsidR="00871496" w:rsidRPr="00C5502A">
        <w:rPr>
          <w:rFonts w:cstheme="minorHAnsi"/>
          <w:i/>
          <w:iCs/>
        </w:rPr>
        <w:t>(</w:t>
      </w:r>
      <w:r w:rsidRPr="00C5502A">
        <w:rPr>
          <w:rFonts w:cstheme="minorHAnsi"/>
          <w:i/>
          <w:iCs/>
        </w:rPr>
        <w:t>187</w:t>
      </w:r>
      <w:r w:rsidR="00871496" w:rsidRPr="00C5502A">
        <w:rPr>
          <w:rFonts w:cstheme="minorHAnsi"/>
          <w:i/>
          <w:iCs/>
        </w:rPr>
        <w:t>)</w:t>
      </w:r>
      <w:r w:rsidR="00871496" w:rsidRPr="00C5502A">
        <w:rPr>
          <w:rFonts w:cstheme="minorHAnsi"/>
        </w:rPr>
        <w:t xml:space="preserve">. </w:t>
      </w:r>
      <w:hyperlink r:id="rId28" w:history="1">
        <w:r w:rsidR="00871496" w:rsidRPr="00FE7FCD">
          <w:rPr>
            <w:rStyle w:val="Hiperligao"/>
          </w:rPr>
          <w:t>https://dre.pt/web/guest/pesquisa/-/search/171891094/details/maximized</w:t>
        </w:r>
      </w:hyperlink>
    </w:p>
    <w:p w14:paraId="62040A65" w14:textId="24AF7E5D" w:rsidR="00E6475B" w:rsidRPr="00C5502A" w:rsidRDefault="00E6475B" w:rsidP="002F7079">
      <w:pPr>
        <w:spacing w:after="120" w:line="240" w:lineRule="auto"/>
        <w:ind w:left="-170" w:right="-170"/>
        <w:jc w:val="both"/>
        <w:rPr>
          <w:rStyle w:val="Hiperligao"/>
          <w:rFonts w:cstheme="minorHAnsi"/>
          <w:color w:val="auto"/>
        </w:rPr>
      </w:pPr>
      <w:r w:rsidRPr="00C5502A">
        <w:rPr>
          <w:rFonts w:cstheme="minorHAnsi"/>
        </w:rPr>
        <w:t>Direção-Geral da Saúde</w:t>
      </w:r>
      <w:r w:rsidR="00D622B0" w:rsidRPr="00C5502A">
        <w:rPr>
          <w:rFonts w:cstheme="minorHAnsi"/>
        </w:rPr>
        <w:t>.</w:t>
      </w:r>
      <w:r w:rsidRPr="00C5502A">
        <w:rPr>
          <w:rFonts w:cstheme="minorHAnsi"/>
        </w:rPr>
        <w:t xml:space="preserve"> (2022</w:t>
      </w:r>
      <w:r w:rsidR="004036AE" w:rsidRPr="00C5502A">
        <w:rPr>
          <w:rFonts w:cstheme="minorHAnsi"/>
        </w:rPr>
        <w:t>a</w:t>
      </w:r>
      <w:r w:rsidRPr="00C5502A">
        <w:rPr>
          <w:rFonts w:cstheme="minorHAnsi"/>
        </w:rPr>
        <w:t xml:space="preserve">). </w:t>
      </w:r>
      <w:r w:rsidR="000411E7" w:rsidRPr="00C5502A">
        <w:rPr>
          <w:rFonts w:cstheme="minorHAnsi"/>
        </w:rPr>
        <w:t>Infeções e resistência a antimicrobianos</w:t>
      </w:r>
      <w:r w:rsidR="00314F16" w:rsidRPr="00C5502A">
        <w:rPr>
          <w:rFonts w:cstheme="minorHAnsi"/>
        </w:rPr>
        <w:t xml:space="preserve"> -</w:t>
      </w:r>
      <w:r w:rsidRPr="00C5502A">
        <w:rPr>
          <w:rFonts w:cstheme="minorHAnsi"/>
        </w:rPr>
        <w:t xml:space="preserve"> Relatório do Programa Prioritário PPCIRA</w:t>
      </w:r>
      <w:r w:rsidR="003C3EAE">
        <w:rPr>
          <w:rFonts w:cstheme="minorHAnsi"/>
        </w:rPr>
        <w:t xml:space="preserve">. </w:t>
      </w:r>
      <w:hyperlink r:id="rId29" w:history="1">
        <w:r w:rsidR="003C3EAE" w:rsidRPr="00946EF3">
          <w:rPr>
            <w:rStyle w:val="Hiperligao"/>
          </w:rPr>
          <w:t>https://www.dgs.pt/programa-nacional-de-controlo-da-infeccao/relatorios/infecoes-e-resistencias-aos-antimicrobianos-2021-relatorio-anual-do-programa-prioritario-pdf.aspx</w:t>
        </w:r>
      </w:hyperlink>
    </w:p>
    <w:p w14:paraId="573C33B8" w14:textId="282EB349" w:rsidR="001E058F" w:rsidRPr="00C5502A" w:rsidRDefault="00650C28" w:rsidP="002F7079">
      <w:pPr>
        <w:spacing w:after="120" w:line="240" w:lineRule="auto"/>
        <w:ind w:left="-170" w:right="-170"/>
        <w:jc w:val="both"/>
        <w:rPr>
          <w:rFonts w:cstheme="minorHAnsi"/>
        </w:rPr>
      </w:pPr>
      <w:r w:rsidRPr="00C5502A">
        <w:rPr>
          <w:rFonts w:cstheme="minorHAnsi"/>
        </w:rPr>
        <w:t>Direção-Geral da Saúde. (2022</w:t>
      </w:r>
      <w:r w:rsidR="004036AE" w:rsidRPr="00C5502A">
        <w:rPr>
          <w:rFonts w:cstheme="minorHAnsi"/>
        </w:rPr>
        <w:t>b</w:t>
      </w:r>
      <w:r w:rsidR="00BB489A" w:rsidRPr="00C5502A">
        <w:rPr>
          <w:rFonts w:cstheme="minorHAnsi"/>
        </w:rPr>
        <w:t>)</w:t>
      </w:r>
      <w:r w:rsidR="001E058F" w:rsidRPr="00C5502A">
        <w:rPr>
          <w:rFonts w:cstheme="minorHAnsi"/>
        </w:rPr>
        <w:t>.</w:t>
      </w:r>
      <w:r w:rsidR="00BB489A" w:rsidRPr="00C5502A">
        <w:rPr>
          <w:rFonts w:cstheme="minorHAnsi"/>
        </w:rPr>
        <w:t xml:space="preserve"> </w:t>
      </w:r>
      <w:r w:rsidR="00FD78F9" w:rsidRPr="00FE7FCD">
        <w:rPr>
          <w:rFonts w:cstheme="minorHAnsi"/>
          <w:i/>
          <w:iCs/>
        </w:rPr>
        <w:t>Norma clínica</w:t>
      </w:r>
      <w:r w:rsidR="00BB489A" w:rsidRPr="00FE7FCD">
        <w:rPr>
          <w:rFonts w:cstheme="minorHAnsi"/>
          <w:i/>
          <w:iCs/>
        </w:rPr>
        <w:t>: 020/2015 de 15/12/2015 atualizada a 17/11/2022</w:t>
      </w:r>
      <w:r w:rsidR="001E058F" w:rsidRPr="00FE7FCD">
        <w:rPr>
          <w:rFonts w:cstheme="minorHAnsi"/>
          <w:i/>
          <w:iCs/>
        </w:rPr>
        <w:t xml:space="preserve">. </w:t>
      </w:r>
      <w:r w:rsidR="007C6437" w:rsidRPr="00C5502A">
        <w:rPr>
          <w:rFonts w:cstheme="minorHAnsi"/>
        </w:rPr>
        <w:t>“Feixe de Intervenções” para a Prevenção da Infeção do Local Cirúrgico</w:t>
      </w:r>
      <w:r w:rsidR="001E058F" w:rsidRPr="00C5502A">
        <w:rPr>
          <w:rFonts w:cstheme="minorHAnsi"/>
        </w:rPr>
        <w:t xml:space="preserve">. </w:t>
      </w:r>
      <w:hyperlink r:id="rId30" w:history="1">
        <w:r w:rsidR="007C6437" w:rsidRPr="00FE7FCD">
          <w:rPr>
            <w:rStyle w:val="Hiperligao"/>
          </w:rPr>
          <w:t>https://normas.dgs.min-saude.pt/wp-content/uploads/2015/12/norma_020_2015_atualizada_17_11_2022_prev_inf_local_cirurgico.pdf</w:t>
        </w:r>
      </w:hyperlink>
    </w:p>
    <w:p w14:paraId="60F431C0" w14:textId="238B652A" w:rsidR="00E6475B" w:rsidRPr="00C5502A" w:rsidRDefault="00E6475B" w:rsidP="002F7079">
      <w:pPr>
        <w:spacing w:after="120" w:line="240" w:lineRule="auto"/>
        <w:ind w:left="-170" w:right="-170"/>
        <w:jc w:val="both"/>
        <w:rPr>
          <w:rFonts w:cstheme="minorHAnsi"/>
          <w:lang w:val="en-US"/>
        </w:rPr>
      </w:pPr>
      <w:r w:rsidRPr="00C5502A">
        <w:rPr>
          <w:rFonts w:cstheme="minorHAnsi"/>
          <w:lang w:val="en-US"/>
        </w:rPr>
        <w:t>European Center for Disease Prevention and Control</w:t>
      </w:r>
      <w:r w:rsidR="009258BF" w:rsidRPr="00C5502A">
        <w:rPr>
          <w:rFonts w:cstheme="minorHAnsi"/>
          <w:lang w:val="en-US"/>
        </w:rPr>
        <w:t>.</w:t>
      </w:r>
      <w:r w:rsidRPr="00C5502A">
        <w:rPr>
          <w:rFonts w:cstheme="minorHAnsi"/>
          <w:lang w:val="en-US"/>
        </w:rPr>
        <w:t xml:space="preserve"> (2019). </w:t>
      </w:r>
      <w:r w:rsidRPr="00FE7FCD">
        <w:rPr>
          <w:rFonts w:cstheme="minorHAnsi"/>
          <w:lang w:val="en-US"/>
        </w:rPr>
        <w:t>Healthcare-associated infections: surgical site infections</w:t>
      </w:r>
      <w:r w:rsidRPr="00C5502A">
        <w:rPr>
          <w:rFonts w:cstheme="minorHAnsi"/>
          <w:i/>
          <w:iCs/>
          <w:lang w:val="en-US"/>
        </w:rPr>
        <w:t>. Annual Epidemiological Report for 2017</w:t>
      </w:r>
      <w:r w:rsidRPr="00C5502A">
        <w:rPr>
          <w:rFonts w:cstheme="minorHAnsi"/>
          <w:lang w:val="en-US"/>
        </w:rPr>
        <w:t xml:space="preserve">. </w:t>
      </w:r>
      <w:hyperlink r:id="rId31" w:history="1">
        <w:r w:rsidRPr="00AF0BBB">
          <w:rPr>
            <w:rStyle w:val="Hiperligao"/>
            <w:lang w:val="en-US"/>
          </w:rPr>
          <w:t>https://www.ecdc.europa.eu/sites/default/files/documents/AER_for_2017-SSI.pdf</w:t>
        </w:r>
      </w:hyperlink>
    </w:p>
    <w:p w14:paraId="5E9DC0A2" w14:textId="483362F5" w:rsidR="00E6475B" w:rsidRPr="00C5502A" w:rsidRDefault="00E6475B" w:rsidP="002F7079">
      <w:pPr>
        <w:spacing w:after="120" w:line="240" w:lineRule="auto"/>
        <w:ind w:left="-170" w:right="-170"/>
        <w:jc w:val="both"/>
        <w:rPr>
          <w:rFonts w:cstheme="minorHAnsi"/>
        </w:rPr>
      </w:pPr>
      <w:r w:rsidRPr="00C5502A">
        <w:rPr>
          <w:rFonts w:cstheme="minorHAnsi"/>
        </w:rPr>
        <w:t xml:space="preserve">Fernandes, D. A. (2022). </w:t>
      </w:r>
      <w:r w:rsidRPr="00C5502A">
        <w:rPr>
          <w:rFonts w:cstheme="minorHAnsi"/>
          <w:i/>
          <w:iCs/>
        </w:rPr>
        <w:t>Análise da Infeção do Local Cirúrgico em doentes submetidos a cirurgia ortopédica major</w:t>
      </w:r>
      <w:r w:rsidRPr="00C5502A">
        <w:rPr>
          <w:rFonts w:cstheme="minorHAnsi"/>
        </w:rPr>
        <w:t xml:space="preserve"> [Dissertação de Mestrado</w:t>
      </w:r>
      <w:r w:rsidR="00493CC9" w:rsidRPr="00C5502A">
        <w:rPr>
          <w:rFonts w:cstheme="minorHAnsi"/>
        </w:rPr>
        <w:t>,</w:t>
      </w:r>
      <w:r w:rsidR="00DE15ED" w:rsidRPr="00C5502A">
        <w:rPr>
          <w:rFonts w:cstheme="minorHAnsi"/>
        </w:rPr>
        <w:t xml:space="preserve"> </w:t>
      </w:r>
      <w:r w:rsidR="006B3A7C" w:rsidRPr="00C5502A">
        <w:rPr>
          <w:rFonts w:cstheme="minorHAnsi"/>
        </w:rPr>
        <w:t>IPB</w:t>
      </w:r>
      <w:r w:rsidR="00DE15ED" w:rsidRPr="00C5502A">
        <w:rPr>
          <w:rFonts w:cstheme="minorHAnsi"/>
        </w:rPr>
        <w:t xml:space="preserve"> - </w:t>
      </w:r>
      <w:r w:rsidRPr="00C5502A">
        <w:rPr>
          <w:rFonts w:cstheme="minorHAnsi"/>
        </w:rPr>
        <w:t>Instituto Politécnico de Bragança</w:t>
      </w:r>
      <w:r w:rsidR="00DE15ED" w:rsidRPr="00C5502A">
        <w:rPr>
          <w:rFonts w:cstheme="minorHAnsi"/>
        </w:rPr>
        <w:t xml:space="preserve">]. </w:t>
      </w:r>
      <w:r w:rsidR="006B3A7C" w:rsidRPr="00C5502A">
        <w:rPr>
          <w:rFonts w:cstheme="minorHAnsi"/>
        </w:rPr>
        <w:t xml:space="preserve">Biblioteca Digital do IPB. </w:t>
      </w:r>
      <w:hyperlink r:id="rId32" w:history="1">
        <w:r w:rsidR="00B40803" w:rsidRPr="00FE7FCD">
          <w:rPr>
            <w:rStyle w:val="Hiperligao"/>
          </w:rPr>
          <w:t>http://hdl.handle.net/10198/26365</w:t>
        </w:r>
      </w:hyperlink>
    </w:p>
    <w:p w14:paraId="672630F2" w14:textId="4982AD73" w:rsidR="00E6475B" w:rsidRDefault="00E6475B" w:rsidP="002F7079">
      <w:pPr>
        <w:spacing w:after="120" w:line="240" w:lineRule="auto"/>
        <w:ind w:left="-170" w:right="-170"/>
        <w:jc w:val="both"/>
      </w:pPr>
      <w:r w:rsidRPr="00C5502A">
        <w:rPr>
          <w:rFonts w:cstheme="minorHAnsi"/>
        </w:rPr>
        <w:t xml:space="preserve">Filho, J. M., Pardinho, L. T., Avena, K. d., &amp; </w:t>
      </w:r>
      <w:proofErr w:type="spellStart"/>
      <w:r w:rsidRPr="00C5502A">
        <w:rPr>
          <w:rFonts w:cstheme="minorHAnsi"/>
        </w:rPr>
        <w:t>Felzemburgh</w:t>
      </w:r>
      <w:proofErr w:type="spellEnd"/>
      <w:r w:rsidRPr="00C5502A">
        <w:rPr>
          <w:rFonts w:cstheme="minorHAnsi"/>
        </w:rPr>
        <w:t xml:space="preserve">, V. A. (2021). Uso da cola de cianoacrilato como alternativa em procedimentos cirúrgicos: uma revisão integrativa. </w:t>
      </w:r>
      <w:r w:rsidRPr="00C5502A">
        <w:rPr>
          <w:rFonts w:cstheme="minorHAnsi"/>
          <w:i/>
          <w:iCs/>
          <w:lang w:val="en-US"/>
        </w:rPr>
        <w:t>Research, Society and Development, 10</w:t>
      </w:r>
      <w:r w:rsidRPr="00C5502A">
        <w:rPr>
          <w:rFonts w:cstheme="minorHAnsi"/>
          <w:lang w:val="en-US"/>
        </w:rPr>
        <w:t xml:space="preserve">(2). </w:t>
      </w:r>
      <w:hyperlink r:id="rId33" w:history="1">
        <w:r w:rsidR="00FE7FCD" w:rsidRPr="00946EF3">
          <w:rPr>
            <w:rStyle w:val="Hiperligao"/>
            <w:rFonts w:cstheme="minorHAnsi"/>
            <w:lang w:val="en-US"/>
          </w:rPr>
          <w:t>http://doi.org/10.33448/rsd-v10i2.1259</w:t>
        </w:r>
        <w:r w:rsidR="00FE7FCD" w:rsidRPr="00946EF3">
          <w:rPr>
            <w:rStyle w:val="Hiperligao"/>
          </w:rPr>
          <w:t>2</w:t>
        </w:r>
      </w:hyperlink>
    </w:p>
    <w:p w14:paraId="6E8C2809" w14:textId="0B4CA6D5" w:rsidR="00E6475B" w:rsidRDefault="00E6475B" w:rsidP="002F7079">
      <w:pPr>
        <w:spacing w:after="120" w:line="240" w:lineRule="auto"/>
        <w:ind w:left="-170" w:right="-170"/>
        <w:jc w:val="both"/>
      </w:pPr>
      <w:proofErr w:type="spellStart"/>
      <w:r w:rsidRPr="00AF0BBB">
        <w:rPr>
          <w:rFonts w:cstheme="minorHAnsi"/>
        </w:rPr>
        <w:t>Helito</w:t>
      </w:r>
      <w:proofErr w:type="spellEnd"/>
      <w:r w:rsidRPr="00AF0BBB">
        <w:rPr>
          <w:rFonts w:cstheme="minorHAnsi"/>
        </w:rPr>
        <w:t xml:space="preserve">, C. P., Sobrado, M. F., </w:t>
      </w:r>
      <w:proofErr w:type="spellStart"/>
      <w:r w:rsidRPr="00AF0BBB">
        <w:rPr>
          <w:rFonts w:cstheme="minorHAnsi"/>
        </w:rPr>
        <w:t>Giglio</w:t>
      </w:r>
      <w:proofErr w:type="spellEnd"/>
      <w:r w:rsidRPr="00AF0BBB">
        <w:rPr>
          <w:rFonts w:cstheme="minorHAnsi"/>
        </w:rPr>
        <w:t xml:space="preserve">, P. N., </w:t>
      </w:r>
      <w:proofErr w:type="spellStart"/>
      <w:r w:rsidRPr="00AF0BBB">
        <w:rPr>
          <w:rFonts w:cstheme="minorHAnsi"/>
        </w:rPr>
        <w:t>Bonadio</w:t>
      </w:r>
      <w:proofErr w:type="spellEnd"/>
      <w:r w:rsidRPr="00AF0BBB">
        <w:rPr>
          <w:rFonts w:cstheme="minorHAnsi"/>
        </w:rPr>
        <w:t xml:space="preserve">, M. B., Pécora, J. R., </w:t>
      </w:r>
      <w:proofErr w:type="spellStart"/>
      <w:r w:rsidRPr="00AF0BBB">
        <w:rPr>
          <w:rFonts w:cstheme="minorHAnsi"/>
        </w:rPr>
        <w:t>Demage</w:t>
      </w:r>
      <w:proofErr w:type="spellEnd"/>
      <w:r w:rsidRPr="00AF0BBB">
        <w:rPr>
          <w:rFonts w:cstheme="minorHAnsi"/>
        </w:rPr>
        <w:t xml:space="preserve">, M. K., &amp; </w:t>
      </w:r>
      <w:proofErr w:type="spellStart"/>
      <w:r w:rsidRPr="00AF0BBB">
        <w:rPr>
          <w:rFonts w:cstheme="minorHAnsi"/>
        </w:rPr>
        <w:t>Gobbi</w:t>
      </w:r>
      <w:proofErr w:type="spellEnd"/>
      <w:r w:rsidRPr="00AF0BBB">
        <w:rPr>
          <w:rFonts w:cstheme="minorHAnsi"/>
        </w:rPr>
        <w:t xml:space="preserve">, R. G. (2020). </w:t>
      </w:r>
      <w:r w:rsidRPr="00C5502A">
        <w:rPr>
          <w:rFonts w:cstheme="minorHAnsi"/>
          <w:lang w:val="en-US"/>
        </w:rPr>
        <w:t>The use of negative-pressure wound therapy after total knee arthroplasty is effective for reducing complications and the need for reintervention</w:t>
      </w:r>
      <w:r w:rsidRPr="00C5502A">
        <w:rPr>
          <w:rFonts w:cstheme="minorHAnsi"/>
          <w:i/>
          <w:iCs/>
          <w:lang w:val="en-US"/>
        </w:rPr>
        <w:t xml:space="preserve">. </w:t>
      </w:r>
      <w:r w:rsidRPr="00C5502A">
        <w:rPr>
          <w:rFonts w:cstheme="minorHAnsi"/>
          <w:i/>
          <w:iCs/>
        </w:rPr>
        <w:t xml:space="preserve">BMC </w:t>
      </w:r>
      <w:proofErr w:type="spellStart"/>
      <w:r w:rsidRPr="00C5502A">
        <w:rPr>
          <w:rFonts w:cstheme="minorHAnsi"/>
          <w:i/>
          <w:iCs/>
        </w:rPr>
        <w:t>Musculoskeletal</w:t>
      </w:r>
      <w:proofErr w:type="spellEnd"/>
      <w:r w:rsidRPr="00C5502A">
        <w:rPr>
          <w:rFonts w:cstheme="minorHAnsi"/>
          <w:i/>
          <w:iCs/>
        </w:rPr>
        <w:t xml:space="preserve"> </w:t>
      </w:r>
      <w:proofErr w:type="spellStart"/>
      <w:r w:rsidRPr="00C5502A">
        <w:rPr>
          <w:rFonts w:cstheme="minorHAnsi"/>
          <w:i/>
          <w:iCs/>
        </w:rPr>
        <w:t>Disorders</w:t>
      </w:r>
      <w:proofErr w:type="spellEnd"/>
      <w:r w:rsidRPr="00C5502A">
        <w:rPr>
          <w:rFonts w:cstheme="minorHAnsi"/>
          <w:i/>
          <w:iCs/>
        </w:rPr>
        <w:t>, 21</w:t>
      </w:r>
      <w:r w:rsidRPr="00C5502A">
        <w:rPr>
          <w:rFonts w:cstheme="minorHAnsi"/>
        </w:rPr>
        <w:t xml:space="preserve">(490), 2-8. </w:t>
      </w:r>
      <w:hyperlink r:id="rId34" w:history="1">
        <w:r w:rsidR="00FE7FCD" w:rsidRPr="00946EF3">
          <w:rPr>
            <w:rStyle w:val="Hiperligao"/>
            <w:rFonts w:cstheme="minorHAnsi"/>
          </w:rPr>
          <w:t>http://doi.org/10.1186/s12891-020-03510-</w:t>
        </w:r>
        <w:r w:rsidR="00FE7FCD" w:rsidRPr="00946EF3">
          <w:rPr>
            <w:rStyle w:val="Hiperligao"/>
          </w:rPr>
          <w:t>z</w:t>
        </w:r>
      </w:hyperlink>
    </w:p>
    <w:p w14:paraId="4042C890" w14:textId="78639786" w:rsidR="00E6475B" w:rsidRDefault="00E6475B" w:rsidP="002F7079">
      <w:pPr>
        <w:spacing w:after="120" w:line="240" w:lineRule="auto"/>
        <w:ind w:left="-170" w:right="-170"/>
        <w:jc w:val="both"/>
      </w:pPr>
      <w:r w:rsidRPr="00C5502A">
        <w:rPr>
          <w:rFonts w:cstheme="minorHAnsi"/>
        </w:rPr>
        <w:t>Instituto Nacional de Estatística (2023</w:t>
      </w:r>
      <w:r w:rsidRPr="00C5502A">
        <w:rPr>
          <w:rFonts w:cstheme="minorHAnsi"/>
          <w:i/>
          <w:iCs/>
        </w:rPr>
        <w:t>). Estatísticas Demográficas</w:t>
      </w:r>
      <w:r w:rsidRPr="00C5502A">
        <w:rPr>
          <w:rFonts w:cstheme="minorHAnsi"/>
        </w:rPr>
        <w:t xml:space="preserve">. </w:t>
      </w:r>
      <w:hyperlink r:id="rId35" w:history="1">
        <w:r w:rsidR="00FE7FCD" w:rsidRPr="00946EF3">
          <w:rPr>
            <w:rStyle w:val="Hiperligao"/>
          </w:rPr>
          <w:t>https://censos.ine.pt/xportal/xmain?xpid=INE&amp;xpgid=ine_publicacoes&amp;PUBLICACOESpub_boui=280978178&amp;PUBLICACOESmodo=2</w:t>
        </w:r>
      </w:hyperlink>
    </w:p>
    <w:p w14:paraId="4CDFE3F7" w14:textId="5E78CFA9" w:rsidR="00E6475B" w:rsidRPr="00AF0BBB" w:rsidRDefault="00E6475B" w:rsidP="002F7079">
      <w:pPr>
        <w:spacing w:after="120" w:line="240" w:lineRule="auto"/>
        <w:ind w:left="-170" w:right="-170"/>
        <w:jc w:val="both"/>
        <w:rPr>
          <w:lang w:val="en-US"/>
        </w:rPr>
      </w:pPr>
      <w:proofErr w:type="spellStart"/>
      <w:r w:rsidRPr="00C5502A">
        <w:rPr>
          <w:rFonts w:cstheme="minorHAnsi"/>
        </w:rPr>
        <w:t>Jadhav</w:t>
      </w:r>
      <w:proofErr w:type="spellEnd"/>
      <w:r w:rsidRPr="00C5502A">
        <w:rPr>
          <w:rFonts w:cstheme="minorHAnsi"/>
        </w:rPr>
        <w:t xml:space="preserve">, S., </w:t>
      </w:r>
      <w:proofErr w:type="spellStart"/>
      <w:r w:rsidRPr="00C5502A">
        <w:rPr>
          <w:rFonts w:cstheme="minorHAnsi"/>
        </w:rPr>
        <w:t>Dhaniwala</w:t>
      </w:r>
      <w:proofErr w:type="spellEnd"/>
      <w:r w:rsidRPr="00C5502A">
        <w:rPr>
          <w:rFonts w:cstheme="minorHAnsi"/>
        </w:rPr>
        <w:t xml:space="preserve">, N., </w:t>
      </w:r>
      <w:proofErr w:type="spellStart"/>
      <w:r w:rsidRPr="00C5502A">
        <w:rPr>
          <w:rFonts w:cstheme="minorHAnsi"/>
        </w:rPr>
        <w:t>Dudhekar</w:t>
      </w:r>
      <w:proofErr w:type="spellEnd"/>
      <w:r w:rsidRPr="00C5502A">
        <w:rPr>
          <w:rFonts w:cstheme="minorHAnsi"/>
        </w:rPr>
        <w:t xml:space="preserve">, U., </w:t>
      </w:r>
      <w:proofErr w:type="spellStart"/>
      <w:r w:rsidRPr="00C5502A">
        <w:rPr>
          <w:rFonts w:cstheme="minorHAnsi"/>
        </w:rPr>
        <w:t>Dadlani</w:t>
      </w:r>
      <w:proofErr w:type="spellEnd"/>
      <w:r w:rsidRPr="00C5502A">
        <w:rPr>
          <w:rFonts w:cstheme="minorHAnsi"/>
        </w:rPr>
        <w:t xml:space="preserve">, M., &amp; </w:t>
      </w:r>
      <w:proofErr w:type="spellStart"/>
      <w:r w:rsidRPr="00C5502A">
        <w:rPr>
          <w:rFonts w:cstheme="minorHAnsi"/>
        </w:rPr>
        <w:t>Awasthi</w:t>
      </w:r>
      <w:proofErr w:type="spellEnd"/>
      <w:r w:rsidRPr="00C5502A">
        <w:rPr>
          <w:rFonts w:cstheme="minorHAnsi"/>
        </w:rPr>
        <w:t xml:space="preserve">, A. (2023). </w:t>
      </w:r>
      <w:r w:rsidRPr="00C5502A">
        <w:rPr>
          <w:rFonts w:cstheme="minorHAnsi"/>
          <w:lang w:val="en-US"/>
        </w:rPr>
        <w:t xml:space="preserve">Spontaneous Osteonecrosis of Knee: A Case Report. </w:t>
      </w:r>
      <w:r w:rsidRPr="00C5502A">
        <w:rPr>
          <w:rFonts w:cstheme="minorHAnsi"/>
          <w:i/>
          <w:iCs/>
          <w:lang w:val="en-US"/>
        </w:rPr>
        <w:t>Cureus, 15(</w:t>
      </w:r>
      <w:r w:rsidRPr="00C5502A">
        <w:rPr>
          <w:rFonts w:cstheme="minorHAnsi"/>
          <w:lang w:val="en-US"/>
        </w:rPr>
        <w:t xml:space="preserve">9). </w:t>
      </w:r>
      <w:hyperlink r:id="rId36" w:history="1">
        <w:r w:rsidR="00FE7FCD" w:rsidRPr="00946EF3">
          <w:rPr>
            <w:rStyle w:val="Hiperligao"/>
            <w:rFonts w:cstheme="minorHAnsi"/>
            <w:lang w:val="en-US"/>
          </w:rPr>
          <w:t>http://doi.org/10.7759/cureus.4458</w:t>
        </w:r>
        <w:r w:rsidR="00FE7FCD" w:rsidRPr="00AF0BBB">
          <w:rPr>
            <w:rStyle w:val="Hiperligao"/>
            <w:lang w:val="en-US"/>
          </w:rPr>
          <w:t>7</w:t>
        </w:r>
      </w:hyperlink>
    </w:p>
    <w:p w14:paraId="748897F6" w14:textId="25D29EFB" w:rsidR="00E6475B" w:rsidRDefault="00E6475B" w:rsidP="002F7079">
      <w:pPr>
        <w:spacing w:after="120" w:line="240" w:lineRule="auto"/>
        <w:ind w:left="-170" w:right="-170"/>
        <w:jc w:val="both"/>
      </w:pPr>
      <w:r w:rsidRPr="00C5502A">
        <w:rPr>
          <w:rFonts w:cstheme="minorHAnsi"/>
          <w:lang w:val="en-US"/>
        </w:rPr>
        <w:t xml:space="preserve">Ji, C., Zhu, Y., Liu, S., Li, J., Zhang, F., &amp; Chen, W. (2019). Incidence and risk of surgical site infection after adult femoral neck fractures treated by surgery. </w:t>
      </w:r>
      <w:r w:rsidRPr="00C5502A">
        <w:rPr>
          <w:rFonts w:cstheme="minorHAnsi"/>
          <w:i/>
          <w:iCs/>
        </w:rPr>
        <w:t>Medicine, 98</w:t>
      </w:r>
      <w:r w:rsidRPr="00C5502A">
        <w:rPr>
          <w:rFonts w:cstheme="minorHAnsi"/>
        </w:rPr>
        <w:t xml:space="preserve">(11). </w:t>
      </w:r>
      <w:hyperlink r:id="rId37" w:history="1">
        <w:r w:rsidR="00FE7FCD" w:rsidRPr="00946EF3">
          <w:rPr>
            <w:rStyle w:val="Hiperligao"/>
            <w:rFonts w:cstheme="minorHAnsi"/>
          </w:rPr>
          <w:t>http://doi.org/10.1097/md.000000000001488</w:t>
        </w:r>
        <w:r w:rsidR="00FE7FCD" w:rsidRPr="00946EF3">
          <w:rPr>
            <w:rStyle w:val="Hiperligao"/>
          </w:rPr>
          <w:t>2</w:t>
        </w:r>
      </w:hyperlink>
    </w:p>
    <w:p w14:paraId="54C88AAA" w14:textId="766B680A" w:rsidR="00E6475B" w:rsidRDefault="00E6475B" w:rsidP="002F7079">
      <w:pPr>
        <w:spacing w:after="120" w:line="240" w:lineRule="auto"/>
        <w:ind w:left="-170" w:right="-170"/>
        <w:jc w:val="both"/>
      </w:pPr>
      <w:r w:rsidRPr="00C5502A">
        <w:rPr>
          <w:rFonts w:cstheme="minorHAnsi"/>
        </w:rPr>
        <w:t xml:space="preserve">Júnior, F. M., Oliveira, I. S., Correia, K. R., Machado, M. P., Quinteiro, J., &amp; Costa, R. S. (2021). Fatores de risco para infeção de sítio cirúrgico em pacientes ortopédicos. </w:t>
      </w:r>
      <w:r w:rsidRPr="00C5502A">
        <w:rPr>
          <w:rFonts w:cstheme="minorHAnsi"/>
          <w:i/>
          <w:iCs/>
        </w:rPr>
        <w:t>Revista Ciência Saúde, 6</w:t>
      </w:r>
      <w:r w:rsidRPr="00C5502A">
        <w:rPr>
          <w:rFonts w:cstheme="minorHAnsi"/>
        </w:rPr>
        <w:t xml:space="preserve">(3), 22-31. </w:t>
      </w:r>
      <w:hyperlink r:id="rId38" w:history="1">
        <w:r w:rsidR="00FE7FCD" w:rsidRPr="00946EF3">
          <w:rPr>
            <w:rStyle w:val="Hiperligao"/>
            <w:rFonts w:cstheme="minorHAnsi"/>
          </w:rPr>
          <w:t>https://revistaeletronicafunvic.org/index.php/c14ffd10/article/view/27</w:t>
        </w:r>
        <w:r w:rsidR="00FE7FCD" w:rsidRPr="00946EF3">
          <w:rPr>
            <w:rStyle w:val="Hiperligao"/>
          </w:rPr>
          <w:t>8</w:t>
        </w:r>
      </w:hyperlink>
    </w:p>
    <w:p w14:paraId="3EF19228" w14:textId="7C4B3DDF" w:rsidR="00E6475B" w:rsidRPr="00AF0BBB" w:rsidRDefault="00E6475B" w:rsidP="002F7079">
      <w:pPr>
        <w:spacing w:after="120" w:line="240" w:lineRule="auto"/>
        <w:ind w:left="-170" w:right="-170"/>
        <w:jc w:val="both"/>
        <w:rPr>
          <w:lang w:val="en-US"/>
        </w:rPr>
      </w:pPr>
      <w:r w:rsidRPr="00C5502A">
        <w:rPr>
          <w:rFonts w:cstheme="minorHAnsi"/>
          <w:lang w:val="en-US"/>
        </w:rPr>
        <w:t xml:space="preserve">Kaye, K. S., Schmit, K., Pieper, C., Sloane, R., Caughlan, K. F., Sexton, D. J., &amp; Schmader, K. E. (2005). The Effect of Increasing Age on the Risk of Surgical Site Infection. </w:t>
      </w:r>
      <w:r w:rsidRPr="00C5502A">
        <w:rPr>
          <w:rFonts w:cstheme="minorHAnsi"/>
          <w:i/>
          <w:iCs/>
          <w:lang w:val="en-US"/>
        </w:rPr>
        <w:t xml:space="preserve">The </w:t>
      </w:r>
      <w:proofErr w:type="spellStart"/>
      <w:r w:rsidRPr="00C5502A">
        <w:rPr>
          <w:rFonts w:cstheme="minorHAnsi"/>
          <w:i/>
          <w:iCs/>
          <w:lang w:val="en-US"/>
        </w:rPr>
        <w:t>Jounal</w:t>
      </w:r>
      <w:proofErr w:type="spellEnd"/>
      <w:r w:rsidRPr="00C5502A">
        <w:rPr>
          <w:rFonts w:cstheme="minorHAnsi"/>
          <w:i/>
          <w:iCs/>
          <w:lang w:val="en-US"/>
        </w:rPr>
        <w:t xml:space="preserve"> of Infectious Diseases, 191</w:t>
      </w:r>
      <w:r w:rsidRPr="00C5502A">
        <w:rPr>
          <w:rFonts w:cstheme="minorHAnsi"/>
          <w:lang w:val="en-US"/>
        </w:rPr>
        <w:t xml:space="preserve">(7), 1056-1062. </w:t>
      </w:r>
      <w:hyperlink r:id="rId39" w:history="1">
        <w:r w:rsidR="00FE7FCD" w:rsidRPr="00946EF3">
          <w:rPr>
            <w:rStyle w:val="Hiperligao"/>
            <w:rFonts w:cstheme="minorHAnsi"/>
            <w:lang w:val="en-US"/>
          </w:rPr>
          <w:t>http://doi.org/10.1086/42862</w:t>
        </w:r>
        <w:r w:rsidR="00FE7FCD" w:rsidRPr="00AF0BBB">
          <w:rPr>
            <w:rStyle w:val="Hiperligao"/>
            <w:lang w:val="en-US"/>
          </w:rPr>
          <w:t>6</w:t>
        </w:r>
      </w:hyperlink>
    </w:p>
    <w:p w14:paraId="0D79AC74" w14:textId="4CEE16B0" w:rsidR="00E6475B" w:rsidRPr="00AF0BBB" w:rsidRDefault="00E6475B" w:rsidP="002F7079">
      <w:pPr>
        <w:spacing w:after="120" w:line="240" w:lineRule="auto"/>
        <w:ind w:left="-170" w:right="-170"/>
        <w:jc w:val="both"/>
        <w:rPr>
          <w:lang w:val="en-US"/>
        </w:rPr>
      </w:pPr>
      <w:r w:rsidRPr="00C5502A">
        <w:rPr>
          <w:rFonts w:cstheme="minorHAnsi"/>
          <w:lang w:val="en-US"/>
        </w:rPr>
        <w:t xml:space="preserve">Knudsen, R. J., Knudsen, S. M., Nymark, T., </w:t>
      </w:r>
      <w:proofErr w:type="spellStart"/>
      <w:r w:rsidRPr="00C5502A">
        <w:rPr>
          <w:rFonts w:cstheme="minorHAnsi"/>
          <w:lang w:val="en-US"/>
        </w:rPr>
        <w:t>Anstensrud</w:t>
      </w:r>
      <w:proofErr w:type="spellEnd"/>
      <w:r w:rsidRPr="00C5502A">
        <w:rPr>
          <w:rFonts w:cstheme="minorHAnsi"/>
          <w:lang w:val="en-US"/>
        </w:rPr>
        <w:t xml:space="preserve">, T., Jensen, E. T., La Mia Malekzadeh, M. J., &amp; Overgaard, S. (2021). Laminar airflow decreases microbial air contamination compared with turbulent ventilated operating theatres during live total joint arthroplasty: a nationwide survey. </w:t>
      </w:r>
      <w:r w:rsidRPr="00C5502A">
        <w:rPr>
          <w:rFonts w:cstheme="minorHAnsi"/>
          <w:i/>
          <w:iCs/>
          <w:lang w:val="en-US"/>
        </w:rPr>
        <w:t xml:space="preserve">The Journal of </w:t>
      </w:r>
      <w:r w:rsidR="005551F2" w:rsidRPr="00C5502A">
        <w:rPr>
          <w:rFonts w:cstheme="minorHAnsi"/>
          <w:i/>
          <w:iCs/>
          <w:lang w:val="en-US"/>
        </w:rPr>
        <w:t>H</w:t>
      </w:r>
      <w:r w:rsidRPr="00C5502A">
        <w:rPr>
          <w:rFonts w:cstheme="minorHAnsi"/>
          <w:i/>
          <w:iCs/>
          <w:lang w:val="en-US"/>
        </w:rPr>
        <w:t xml:space="preserve">ospital </w:t>
      </w:r>
      <w:r w:rsidR="005551F2" w:rsidRPr="00C5502A">
        <w:rPr>
          <w:rFonts w:cstheme="minorHAnsi"/>
          <w:i/>
          <w:iCs/>
          <w:lang w:val="en-US"/>
        </w:rPr>
        <w:t>I</w:t>
      </w:r>
      <w:r w:rsidRPr="00C5502A">
        <w:rPr>
          <w:rFonts w:cstheme="minorHAnsi"/>
          <w:i/>
          <w:iCs/>
          <w:lang w:val="en-US"/>
        </w:rPr>
        <w:t>nfection</w:t>
      </w:r>
      <w:r w:rsidR="00241EBC" w:rsidRPr="00C5502A">
        <w:rPr>
          <w:rFonts w:cstheme="minorHAnsi"/>
          <w:i/>
          <w:iCs/>
          <w:lang w:val="en-US"/>
        </w:rPr>
        <w:t xml:space="preserve">, </w:t>
      </w:r>
      <w:r w:rsidRPr="00C5502A">
        <w:rPr>
          <w:rFonts w:cstheme="minorHAnsi"/>
          <w:i/>
          <w:iCs/>
          <w:lang w:val="en-US"/>
        </w:rPr>
        <w:t>113</w:t>
      </w:r>
      <w:r w:rsidRPr="00C5502A">
        <w:rPr>
          <w:rFonts w:cstheme="minorHAnsi"/>
          <w:lang w:val="en-US"/>
        </w:rPr>
        <w:t xml:space="preserve">, 65-70. </w:t>
      </w:r>
      <w:hyperlink r:id="rId40" w:history="1">
        <w:r w:rsidR="00FE7FCD" w:rsidRPr="00946EF3">
          <w:rPr>
            <w:rStyle w:val="Hiperligao"/>
            <w:rFonts w:cstheme="minorHAnsi"/>
            <w:lang w:val="en-US"/>
          </w:rPr>
          <w:t>http://doi.org/10.1016/j.jhin.2021.04.01</w:t>
        </w:r>
        <w:r w:rsidR="00FE7FCD" w:rsidRPr="00AF0BBB">
          <w:rPr>
            <w:rStyle w:val="Hiperligao"/>
            <w:lang w:val="en-US"/>
          </w:rPr>
          <w:t>9</w:t>
        </w:r>
      </w:hyperlink>
    </w:p>
    <w:p w14:paraId="629FA833" w14:textId="7D7733E2" w:rsidR="00E6475B" w:rsidRPr="00AF0BBB" w:rsidRDefault="00E6475B" w:rsidP="002F7079">
      <w:pPr>
        <w:spacing w:after="120" w:line="240" w:lineRule="auto"/>
        <w:ind w:left="-170" w:right="-170"/>
        <w:jc w:val="both"/>
        <w:rPr>
          <w:lang w:val="en-US"/>
        </w:rPr>
      </w:pPr>
      <w:r w:rsidRPr="00C5502A">
        <w:rPr>
          <w:rFonts w:cstheme="minorHAnsi"/>
          <w:lang w:val="en-US"/>
        </w:rPr>
        <w:t xml:space="preserve">Kong, L., Cao, J., Zhang, Y., &amp; Ding, W. Y. (2016). Risk factors for periprosthetic joint infection following primary total hip or knee arthroplasty: a meta-analysis. </w:t>
      </w:r>
      <w:r w:rsidRPr="00C5502A">
        <w:rPr>
          <w:rFonts w:cstheme="minorHAnsi"/>
          <w:i/>
          <w:iCs/>
          <w:lang w:val="en-US"/>
        </w:rPr>
        <w:t>International Wound Journal, 14</w:t>
      </w:r>
      <w:r w:rsidRPr="00C5502A">
        <w:rPr>
          <w:rFonts w:cstheme="minorHAnsi"/>
          <w:lang w:val="en-US"/>
        </w:rPr>
        <w:t xml:space="preserve">(3), 529-526. </w:t>
      </w:r>
      <w:hyperlink r:id="rId41" w:history="1">
        <w:r w:rsidR="00FE7FCD" w:rsidRPr="00946EF3">
          <w:rPr>
            <w:rStyle w:val="Hiperligao"/>
            <w:rFonts w:cstheme="minorHAnsi"/>
            <w:lang w:val="en-US"/>
          </w:rPr>
          <w:t>http://doi.org/10.1111/iwj.126</w:t>
        </w:r>
        <w:r w:rsidR="00FE7FCD" w:rsidRPr="00AF0BBB">
          <w:rPr>
            <w:rStyle w:val="Hiperligao"/>
            <w:lang w:val="en-US"/>
          </w:rPr>
          <w:t>40</w:t>
        </w:r>
      </w:hyperlink>
    </w:p>
    <w:p w14:paraId="5894D473" w14:textId="49C4C218" w:rsidR="00E6475B" w:rsidRDefault="00E6475B" w:rsidP="002F7079">
      <w:pPr>
        <w:spacing w:after="120" w:line="240" w:lineRule="auto"/>
        <w:ind w:left="-170" w:right="-170"/>
        <w:jc w:val="both"/>
      </w:pPr>
      <w:proofErr w:type="spellStart"/>
      <w:r w:rsidRPr="00C5502A">
        <w:rPr>
          <w:rFonts w:cstheme="minorHAnsi"/>
          <w:lang w:val="en-US"/>
        </w:rPr>
        <w:t>Latremoliere</w:t>
      </w:r>
      <w:proofErr w:type="spellEnd"/>
      <w:r w:rsidRPr="00C5502A">
        <w:rPr>
          <w:rFonts w:cstheme="minorHAnsi"/>
          <w:lang w:val="en-US"/>
        </w:rPr>
        <w:t xml:space="preserve">, A., &amp; Woolf, C. J. (2009). Central </w:t>
      </w:r>
      <w:r w:rsidR="00644588" w:rsidRPr="00C5502A">
        <w:rPr>
          <w:rFonts w:cstheme="minorHAnsi"/>
          <w:lang w:val="en-US"/>
        </w:rPr>
        <w:t>s</w:t>
      </w:r>
      <w:r w:rsidRPr="00C5502A">
        <w:rPr>
          <w:rFonts w:cstheme="minorHAnsi"/>
          <w:lang w:val="en-US"/>
        </w:rPr>
        <w:t xml:space="preserve">ensitization: </w:t>
      </w:r>
      <w:r w:rsidR="00644588" w:rsidRPr="00C5502A">
        <w:rPr>
          <w:rFonts w:cstheme="minorHAnsi"/>
          <w:lang w:val="en-US"/>
        </w:rPr>
        <w:t>a generator of pain hypersensitivity by central neural plasticity</w:t>
      </w:r>
      <w:r w:rsidRPr="00C5502A">
        <w:rPr>
          <w:rFonts w:cstheme="minorHAnsi"/>
          <w:lang w:val="en-US"/>
        </w:rPr>
        <w:t xml:space="preserve">. </w:t>
      </w:r>
      <w:r w:rsidRPr="00C5502A">
        <w:rPr>
          <w:rFonts w:cstheme="minorHAnsi"/>
          <w:i/>
          <w:iCs/>
          <w:lang w:val="en-US"/>
        </w:rPr>
        <w:t>The Journal of Pain, 10</w:t>
      </w:r>
      <w:r w:rsidRPr="00C5502A">
        <w:rPr>
          <w:rFonts w:cstheme="minorHAnsi"/>
          <w:lang w:val="en-US"/>
        </w:rPr>
        <w:t xml:space="preserve">(9), 895-926. </w:t>
      </w:r>
      <w:hyperlink r:id="rId42" w:history="1">
        <w:r w:rsidR="00FE7FCD" w:rsidRPr="00946EF3">
          <w:rPr>
            <w:rStyle w:val="Hiperligao"/>
            <w:rFonts w:cstheme="minorHAnsi"/>
            <w:lang w:val="en-US"/>
          </w:rPr>
          <w:t>http://doi.org/10.1016/j.jpain.2009.06.012</w:t>
        </w:r>
      </w:hyperlink>
    </w:p>
    <w:p w14:paraId="77560D7B" w14:textId="61EB1DF1" w:rsidR="00E6475B" w:rsidRDefault="00E6475B" w:rsidP="002F7079">
      <w:pPr>
        <w:spacing w:after="120" w:line="240" w:lineRule="auto"/>
        <w:ind w:left="-170" w:right="-170"/>
        <w:jc w:val="both"/>
      </w:pPr>
      <w:r w:rsidRPr="00AF0BBB">
        <w:rPr>
          <w:rFonts w:cstheme="minorHAnsi"/>
        </w:rPr>
        <w:t xml:space="preserve">Martins, M. D. S., &amp; Fernandes, A. C. P. (2019). </w:t>
      </w:r>
      <w:r w:rsidRPr="00C5502A">
        <w:rPr>
          <w:rFonts w:cstheme="minorHAnsi"/>
          <w:lang w:val="en-US"/>
        </w:rPr>
        <w:t xml:space="preserve">Implementation of bundles in preventing infection after total hip arthroplasty. </w:t>
      </w:r>
      <w:r w:rsidRPr="00C5502A">
        <w:rPr>
          <w:rFonts w:cstheme="minorHAnsi"/>
          <w:i/>
          <w:iCs/>
        </w:rPr>
        <w:t>Revista de Enfermagem Referência, IV</w:t>
      </w:r>
      <w:r w:rsidRPr="00C5502A">
        <w:rPr>
          <w:rFonts w:cstheme="minorHAnsi"/>
        </w:rPr>
        <w:t xml:space="preserve">(21), 101-108. </w:t>
      </w:r>
      <w:hyperlink r:id="rId43" w:history="1">
        <w:r w:rsidR="00FE7FCD" w:rsidRPr="00946EF3">
          <w:rPr>
            <w:rStyle w:val="Hiperligao"/>
            <w:rFonts w:cstheme="minorHAnsi"/>
          </w:rPr>
          <w:t>http://doi.org/10.12707/RIV1805</w:t>
        </w:r>
        <w:r w:rsidR="00FE7FCD" w:rsidRPr="00946EF3">
          <w:rPr>
            <w:rStyle w:val="Hiperligao"/>
          </w:rPr>
          <w:t>1</w:t>
        </w:r>
      </w:hyperlink>
    </w:p>
    <w:p w14:paraId="13610682" w14:textId="40002D00" w:rsidR="00E6475B" w:rsidRDefault="00E6475B" w:rsidP="002F7079">
      <w:pPr>
        <w:spacing w:after="120" w:line="240" w:lineRule="auto"/>
        <w:ind w:left="-170" w:right="-170"/>
        <w:jc w:val="both"/>
      </w:pPr>
      <w:r w:rsidRPr="00C5502A">
        <w:rPr>
          <w:rFonts w:cstheme="minorHAnsi"/>
        </w:rPr>
        <w:t xml:space="preserve">Nunes, T. F. (2014). </w:t>
      </w:r>
      <w:r w:rsidR="00644588" w:rsidRPr="00C5502A">
        <w:rPr>
          <w:rFonts w:cstheme="minorHAnsi"/>
          <w:i/>
          <w:iCs/>
        </w:rPr>
        <w:t xml:space="preserve">Distúrbios da </w:t>
      </w:r>
      <w:proofErr w:type="spellStart"/>
      <w:r w:rsidR="00644588" w:rsidRPr="00C5502A">
        <w:rPr>
          <w:rFonts w:cstheme="minorHAnsi"/>
          <w:i/>
          <w:iCs/>
        </w:rPr>
        <w:t>hemostase</w:t>
      </w:r>
      <w:proofErr w:type="spellEnd"/>
      <w:r w:rsidR="00644588" w:rsidRPr="00C5502A">
        <w:rPr>
          <w:rFonts w:cstheme="minorHAnsi"/>
          <w:i/>
          <w:iCs/>
        </w:rPr>
        <w:t xml:space="preserve"> no doente cirrótico</w:t>
      </w:r>
      <w:r w:rsidRPr="00C5502A">
        <w:rPr>
          <w:rFonts w:cstheme="minorHAnsi"/>
        </w:rPr>
        <w:t>. [Dissertação de Mestrado</w:t>
      </w:r>
      <w:r w:rsidR="00B427B8" w:rsidRPr="00C5502A">
        <w:rPr>
          <w:rFonts w:cstheme="minorHAnsi"/>
        </w:rPr>
        <w:t>, U</w:t>
      </w:r>
      <w:r w:rsidR="001E6584" w:rsidRPr="00C5502A">
        <w:rPr>
          <w:rFonts w:cstheme="minorHAnsi"/>
        </w:rPr>
        <w:t>niversidade do Porto</w:t>
      </w:r>
      <w:r w:rsidRPr="00C5502A">
        <w:rPr>
          <w:rFonts w:cstheme="minorHAnsi"/>
        </w:rPr>
        <w:t xml:space="preserve">]. </w:t>
      </w:r>
      <w:r w:rsidR="001E6584" w:rsidRPr="00C5502A">
        <w:rPr>
          <w:rFonts w:cstheme="minorHAnsi"/>
        </w:rPr>
        <w:t>Repositório Aberto da Universidade do Porto.</w:t>
      </w:r>
      <w:r w:rsidR="00A150C8" w:rsidRPr="00C5502A">
        <w:rPr>
          <w:rFonts w:cstheme="minorHAnsi"/>
        </w:rPr>
        <w:t xml:space="preserve"> </w:t>
      </w:r>
      <w:hyperlink r:id="rId44" w:history="1">
        <w:r w:rsidR="00343726" w:rsidRPr="00946EF3">
          <w:rPr>
            <w:rStyle w:val="Hiperligao"/>
          </w:rPr>
          <w:t>https://hdl.handle.net/10216/76726</w:t>
        </w:r>
      </w:hyperlink>
    </w:p>
    <w:p w14:paraId="0FF78F2D" w14:textId="7AF4E32D" w:rsidR="00E6475B" w:rsidRDefault="00E6475B" w:rsidP="002F7079">
      <w:pPr>
        <w:spacing w:after="120" w:line="240" w:lineRule="auto"/>
        <w:ind w:left="-170" w:right="-170"/>
        <w:jc w:val="both"/>
      </w:pPr>
      <w:r w:rsidRPr="00C5502A">
        <w:rPr>
          <w:rFonts w:cstheme="minorHAnsi"/>
        </w:rPr>
        <w:t xml:space="preserve">Oliveira. F., Costa, L., Bastos, A., Paião, I., </w:t>
      </w:r>
      <w:proofErr w:type="spellStart"/>
      <w:r w:rsidRPr="00C5502A">
        <w:rPr>
          <w:rFonts w:cstheme="minorHAnsi"/>
        </w:rPr>
        <w:t>Ferretti</w:t>
      </w:r>
      <w:proofErr w:type="spellEnd"/>
      <w:r w:rsidRPr="00C5502A">
        <w:rPr>
          <w:rFonts w:cstheme="minorHAnsi"/>
        </w:rPr>
        <w:t xml:space="preserve">, M. &amp; </w:t>
      </w:r>
      <w:proofErr w:type="spellStart"/>
      <w:r w:rsidRPr="00C5502A">
        <w:rPr>
          <w:rFonts w:cstheme="minorHAnsi"/>
        </w:rPr>
        <w:t>Lenza</w:t>
      </w:r>
      <w:proofErr w:type="spellEnd"/>
      <w:r w:rsidRPr="00C5502A">
        <w:rPr>
          <w:rFonts w:cstheme="minorHAnsi"/>
        </w:rPr>
        <w:t xml:space="preserve">, M. (2023). Avaliação dos fatores de risco relacionados ao tempo de internação e às complicações pós-operatórias em pacientes submetidos a artroplastia total primária do joelho. </w:t>
      </w:r>
      <w:r w:rsidRPr="00C5502A">
        <w:rPr>
          <w:rFonts w:cstheme="minorHAnsi"/>
          <w:i/>
          <w:iCs/>
        </w:rPr>
        <w:t>Revista Brasileira Ortopedia, 58</w:t>
      </w:r>
      <w:r w:rsidRPr="00C5502A">
        <w:rPr>
          <w:rFonts w:cstheme="minorHAnsi"/>
        </w:rPr>
        <w:t xml:space="preserve">(3), 435-442. </w:t>
      </w:r>
      <w:hyperlink r:id="rId45" w:history="1">
        <w:r w:rsidR="00343726" w:rsidRPr="00946EF3">
          <w:rPr>
            <w:rStyle w:val="Hiperligao"/>
            <w:rFonts w:cstheme="minorHAnsi"/>
          </w:rPr>
          <w:t>http://doi.org/10.1055/s-0042-175353</w:t>
        </w:r>
        <w:r w:rsidR="00343726" w:rsidRPr="00946EF3">
          <w:rPr>
            <w:rStyle w:val="Hiperligao"/>
          </w:rPr>
          <w:t>4</w:t>
        </w:r>
      </w:hyperlink>
    </w:p>
    <w:p w14:paraId="3C25FA1B" w14:textId="3F2B6469" w:rsidR="00E6475B" w:rsidRPr="00AF0BBB" w:rsidRDefault="00E6475B" w:rsidP="002F7079">
      <w:pPr>
        <w:spacing w:after="120" w:line="240" w:lineRule="auto"/>
        <w:ind w:left="-170" w:right="-170"/>
        <w:jc w:val="both"/>
        <w:rPr>
          <w:lang w:val="en-US"/>
        </w:rPr>
      </w:pPr>
      <w:proofErr w:type="spellStart"/>
      <w:r w:rsidRPr="00C5502A">
        <w:rPr>
          <w:rFonts w:cstheme="minorHAnsi"/>
        </w:rPr>
        <w:lastRenderedPageBreak/>
        <w:t>Peters</w:t>
      </w:r>
      <w:proofErr w:type="spellEnd"/>
      <w:r w:rsidRPr="00C5502A">
        <w:rPr>
          <w:rFonts w:cstheme="minorHAnsi"/>
        </w:rPr>
        <w:t xml:space="preserve">, M. D., </w:t>
      </w:r>
      <w:proofErr w:type="spellStart"/>
      <w:r w:rsidRPr="00C5502A">
        <w:rPr>
          <w:rFonts w:cstheme="minorHAnsi"/>
        </w:rPr>
        <w:t>Godfrey</w:t>
      </w:r>
      <w:proofErr w:type="spellEnd"/>
      <w:r w:rsidRPr="00C5502A">
        <w:rPr>
          <w:rFonts w:cstheme="minorHAnsi"/>
        </w:rPr>
        <w:t xml:space="preserve">, C., </w:t>
      </w:r>
      <w:proofErr w:type="spellStart"/>
      <w:r w:rsidRPr="00C5502A">
        <w:rPr>
          <w:rFonts w:cstheme="minorHAnsi"/>
        </w:rPr>
        <w:t>McInerney</w:t>
      </w:r>
      <w:proofErr w:type="spellEnd"/>
      <w:r w:rsidRPr="00C5502A">
        <w:rPr>
          <w:rFonts w:cstheme="minorHAnsi"/>
        </w:rPr>
        <w:t xml:space="preserve">, P., </w:t>
      </w:r>
      <w:proofErr w:type="spellStart"/>
      <w:r w:rsidRPr="00C5502A">
        <w:rPr>
          <w:rFonts w:cstheme="minorHAnsi"/>
        </w:rPr>
        <w:t>Khalil</w:t>
      </w:r>
      <w:proofErr w:type="spellEnd"/>
      <w:r w:rsidRPr="00C5502A">
        <w:rPr>
          <w:rFonts w:cstheme="minorHAnsi"/>
        </w:rPr>
        <w:t xml:space="preserve">, H., Larsen, P., </w:t>
      </w:r>
      <w:proofErr w:type="spellStart"/>
      <w:r w:rsidRPr="00C5502A">
        <w:rPr>
          <w:rFonts w:cstheme="minorHAnsi"/>
        </w:rPr>
        <w:t>Marnie</w:t>
      </w:r>
      <w:proofErr w:type="spellEnd"/>
      <w:r w:rsidRPr="00C5502A">
        <w:rPr>
          <w:rFonts w:cstheme="minorHAnsi"/>
        </w:rPr>
        <w:t xml:space="preserve">, C., </w:t>
      </w:r>
      <w:proofErr w:type="spellStart"/>
      <w:r w:rsidRPr="00C5502A">
        <w:rPr>
          <w:rFonts w:cstheme="minorHAnsi"/>
        </w:rPr>
        <w:t>Pollock</w:t>
      </w:r>
      <w:proofErr w:type="spellEnd"/>
      <w:r w:rsidRPr="00C5502A">
        <w:rPr>
          <w:rFonts w:cstheme="minorHAnsi"/>
        </w:rPr>
        <w:t xml:space="preserve">, D., </w:t>
      </w:r>
      <w:proofErr w:type="spellStart"/>
      <w:r w:rsidRPr="00C5502A">
        <w:rPr>
          <w:rFonts w:cstheme="minorHAnsi"/>
        </w:rPr>
        <w:t>Tricco</w:t>
      </w:r>
      <w:proofErr w:type="spellEnd"/>
      <w:r w:rsidRPr="00C5502A">
        <w:rPr>
          <w:rFonts w:cstheme="minorHAnsi"/>
        </w:rPr>
        <w:t xml:space="preserve">, A. C., &amp; </w:t>
      </w:r>
      <w:proofErr w:type="spellStart"/>
      <w:r w:rsidRPr="00C5502A">
        <w:rPr>
          <w:rFonts w:cstheme="minorHAnsi"/>
        </w:rPr>
        <w:t>Munn</w:t>
      </w:r>
      <w:proofErr w:type="spellEnd"/>
      <w:r w:rsidRPr="00C5502A">
        <w:rPr>
          <w:rFonts w:cstheme="minorHAnsi"/>
        </w:rPr>
        <w:t xml:space="preserve">, Z. (2020). </w:t>
      </w:r>
      <w:r w:rsidRPr="00C5502A">
        <w:rPr>
          <w:rFonts w:cstheme="minorHAnsi"/>
          <w:lang w:val="en-US"/>
        </w:rPr>
        <w:t xml:space="preserve">Best practice guidance and reporting items for the development of scoping review protocols. </w:t>
      </w:r>
      <w:r w:rsidRPr="00C5502A">
        <w:rPr>
          <w:rFonts w:cstheme="minorHAnsi"/>
          <w:i/>
          <w:iCs/>
          <w:lang w:val="en-US"/>
        </w:rPr>
        <w:t>JBI Evidence Synthesis, 20</w:t>
      </w:r>
      <w:r w:rsidRPr="00C5502A">
        <w:rPr>
          <w:rFonts w:cstheme="minorHAnsi"/>
          <w:lang w:val="en-US"/>
        </w:rPr>
        <w:t xml:space="preserve">(4), 953-968. </w:t>
      </w:r>
      <w:hyperlink r:id="rId46" w:history="1">
        <w:r w:rsidR="00343726" w:rsidRPr="00946EF3">
          <w:rPr>
            <w:rStyle w:val="Hiperligao"/>
            <w:rFonts w:cstheme="minorHAnsi"/>
            <w:lang w:val="en-US"/>
          </w:rPr>
          <w:t>http://doi.org/10.11124/JBIES-21-0024</w:t>
        </w:r>
        <w:r w:rsidR="00343726" w:rsidRPr="00AF0BBB">
          <w:rPr>
            <w:rStyle w:val="Hiperligao"/>
            <w:lang w:val="en-US"/>
          </w:rPr>
          <w:t>2</w:t>
        </w:r>
      </w:hyperlink>
    </w:p>
    <w:p w14:paraId="6A1CD3B4" w14:textId="42CB1144" w:rsidR="00E6475B" w:rsidRPr="00AF0BBB" w:rsidRDefault="00E6475B" w:rsidP="002F7079">
      <w:pPr>
        <w:spacing w:after="120" w:line="240" w:lineRule="auto"/>
        <w:ind w:left="-170" w:right="-170"/>
        <w:jc w:val="both"/>
        <w:rPr>
          <w:lang w:val="en-US"/>
        </w:rPr>
      </w:pPr>
      <w:r w:rsidRPr="00C5502A">
        <w:rPr>
          <w:rFonts w:cstheme="minorHAnsi"/>
          <w:lang w:val="en-US"/>
        </w:rPr>
        <w:t xml:space="preserve">Pitocco, D., </w:t>
      </w:r>
      <w:proofErr w:type="spellStart"/>
      <w:r w:rsidRPr="00C5502A">
        <w:rPr>
          <w:rFonts w:cstheme="minorHAnsi"/>
          <w:lang w:val="en-US"/>
        </w:rPr>
        <w:t>Spanu</w:t>
      </w:r>
      <w:proofErr w:type="spellEnd"/>
      <w:r w:rsidRPr="00C5502A">
        <w:rPr>
          <w:rFonts w:cstheme="minorHAnsi"/>
          <w:lang w:val="en-US"/>
        </w:rPr>
        <w:t xml:space="preserve">, T, Leo, M., Vitiello, R., Rizzi, A., Tartaglione, L., Fiori, B., </w:t>
      </w:r>
      <w:r w:rsidR="00343726">
        <w:rPr>
          <w:rFonts w:cstheme="minorHAnsi"/>
          <w:lang w:val="en-US"/>
        </w:rPr>
        <w:t>…</w:t>
      </w:r>
      <w:r w:rsidRPr="00C5502A">
        <w:rPr>
          <w:rFonts w:cstheme="minorHAnsi"/>
          <w:lang w:val="en-US"/>
        </w:rPr>
        <w:t xml:space="preserve"> Sanguinetti, M. (2019). Diabetic foot infections: a comprehensive overview. </w:t>
      </w:r>
      <w:r w:rsidRPr="00C5502A">
        <w:rPr>
          <w:rFonts w:cstheme="minorHAnsi"/>
          <w:i/>
          <w:iCs/>
          <w:lang w:val="en-US"/>
        </w:rPr>
        <w:t xml:space="preserve">Eur. Rev. Med. </w:t>
      </w:r>
      <w:proofErr w:type="spellStart"/>
      <w:r w:rsidRPr="00C5502A">
        <w:rPr>
          <w:rFonts w:cstheme="minorHAnsi"/>
          <w:i/>
          <w:iCs/>
          <w:lang w:val="en-US"/>
        </w:rPr>
        <w:t>Pharmacol</w:t>
      </w:r>
      <w:proofErr w:type="spellEnd"/>
      <w:r w:rsidRPr="00C5502A">
        <w:rPr>
          <w:rFonts w:cstheme="minorHAnsi"/>
          <w:i/>
          <w:iCs/>
          <w:lang w:val="en-US"/>
        </w:rPr>
        <w:t>. Sci., 23</w:t>
      </w:r>
      <w:r w:rsidRPr="00C5502A">
        <w:rPr>
          <w:rFonts w:cstheme="minorHAnsi"/>
          <w:lang w:val="en-US"/>
        </w:rPr>
        <w:t>(2), 26-37.</w:t>
      </w:r>
      <w:r w:rsidR="00A878A4" w:rsidRPr="00C5502A">
        <w:rPr>
          <w:rFonts w:cstheme="minorHAnsi"/>
          <w:lang w:val="en-US"/>
        </w:rPr>
        <w:t xml:space="preserve"> </w:t>
      </w:r>
      <w:hyperlink r:id="rId47" w:history="1">
        <w:r w:rsidR="00343726" w:rsidRPr="00946EF3">
          <w:rPr>
            <w:rStyle w:val="Hiperligao"/>
            <w:rFonts w:cstheme="minorHAnsi"/>
            <w:lang w:val="en-US"/>
          </w:rPr>
          <w:t>http://doi.org/</w:t>
        </w:r>
        <w:r w:rsidR="00343726" w:rsidRPr="00946EF3">
          <w:rPr>
            <w:rStyle w:val="Hiperligao"/>
            <w:rFonts w:cstheme="minorHAnsi"/>
            <w:shd w:val="clear" w:color="auto" w:fill="FFFFFF"/>
            <w:lang w:val="en-US"/>
          </w:rPr>
          <w:t>10.26355/eurrev_201904_1747</w:t>
        </w:r>
        <w:r w:rsidR="00343726" w:rsidRPr="00AF0BBB">
          <w:rPr>
            <w:rStyle w:val="Hiperligao"/>
            <w:lang w:val="en-US"/>
          </w:rPr>
          <w:t>1</w:t>
        </w:r>
      </w:hyperlink>
    </w:p>
    <w:p w14:paraId="0F93FA5F" w14:textId="1C30A74B" w:rsidR="00343726" w:rsidRPr="00AF0BBB" w:rsidRDefault="00E6475B" w:rsidP="002F7079">
      <w:pPr>
        <w:spacing w:after="120" w:line="240" w:lineRule="auto"/>
        <w:ind w:left="-170" w:right="-170"/>
        <w:jc w:val="both"/>
        <w:rPr>
          <w:lang w:val="en-US"/>
        </w:rPr>
      </w:pPr>
      <w:r w:rsidRPr="00C5502A">
        <w:rPr>
          <w:rFonts w:cstheme="minorHAnsi"/>
          <w:lang w:val="en-US"/>
        </w:rPr>
        <w:t xml:space="preserve">Punjani, N., Lanting, B., McClure, J. A., Winick-Ng, J., &amp; Welk, B. (2018). </w:t>
      </w:r>
      <w:r w:rsidR="001E6584" w:rsidRPr="00C5502A">
        <w:rPr>
          <w:rFonts w:cstheme="minorHAnsi"/>
          <w:lang w:val="en-US"/>
        </w:rPr>
        <w:t>The impact of common urologic complications on the risk of a periprosthetic joint infection</w:t>
      </w:r>
      <w:r w:rsidRPr="00C5502A">
        <w:rPr>
          <w:rFonts w:cstheme="minorHAnsi"/>
          <w:lang w:val="en-US"/>
        </w:rPr>
        <w:t xml:space="preserve">. </w:t>
      </w:r>
      <w:r w:rsidRPr="00C5502A">
        <w:rPr>
          <w:rFonts w:cstheme="minorHAnsi"/>
          <w:i/>
          <w:iCs/>
          <w:lang w:val="en-US"/>
        </w:rPr>
        <w:t>The Journal of Bone and Joint Surgery, 100</w:t>
      </w:r>
      <w:r w:rsidRPr="00C5502A">
        <w:rPr>
          <w:rFonts w:cstheme="minorHAnsi"/>
          <w:lang w:val="en-US"/>
        </w:rPr>
        <w:t>(7),</w:t>
      </w:r>
      <w:r w:rsidR="00B50BD2" w:rsidRPr="00C5502A">
        <w:rPr>
          <w:rFonts w:cstheme="minorHAnsi"/>
          <w:lang w:val="en-US"/>
        </w:rPr>
        <w:t xml:space="preserve"> </w:t>
      </w:r>
      <w:r w:rsidRPr="00C5502A">
        <w:rPr>
          <w:rFonts w:cstheme="minorHAnsi"/>
          <w:lang w:val="en-US"/>
        </w:rPr>
        <w:t xml:space="preserve">1517-1523. </w:t>
      </w:r>
      <w:hyperlink r:id="rId48" w:history="1">
        <w:r w:rsidR="00343726" w:rsidRPr="00946EF3">
          <w:rPr>
            <w:rStyle w:val="Hiperligao"/>
            <w:rFonts w:cstheme="minorHAnsi"/>
            <w:lang w:val="en-US"/>
          </w:rPr>
          <w:t>http://doi.org/10.2106/JBJS.17.0140</w:t>
        </w:r>
        <w:r w:rsidR="00343726" w:rsidRPr="00AF0BBB">
          <w:rPr>
            <w:rStyle w:val="Hiperligao"/>
            <w:lang w:val="en-US"/>
          </w:rPr>
          <w:t>5</w:t>
        </w:r>
      </w:hyperlink>
    </w:p>
    <w:p w14:paraId="2319917D" w14:textId="652FCE02" w:rsidR="00E6475B" w:rsidRPr="00AF0BBB" w:rsidRDefault="00E6475B" w:rsidP="002F7079">
      <w:pPr>
        <w:spacing w:after="120" w:line="240" w:lineRule="auto"/>
        <w:ind w:left="-170" w:right="-170"/>
        <w:jc w:val="both"/>
        <w:rPr>
          <w:lang w:val="en-US"/>
        </w:rPr>
      </w:pPr>
      <w:r w:rsidRPr="00C5502A">
        <w:rPr>
          <w:rFonts w:cstheme="minorHAnsi"/>
        </w:rPr>
        <w:t xml:space="preserve">Resende, V. A., Neto, A., Nunes, C., Andrade, R., Mendes, J., &amp; Lopes, S. (2018). </w:t>
      </w:r>
      <w:r w:rsidRPr="00C5502A">
        <w:rPr>
          <w:rFonts w:cstheme="minorHAnsi"/>
          <w:lang w:val="en-US"/>
        </w:rPr>
        <w:t xml:space="preserve">Higher age, female gender, osteoarthritis and blood transfusion protect against periprosthetic joint infection in total hip or knee arthroplasties: a systematic review and meta-analysis. </w:t>
      </w:r>
      <w:r w:rsidRPr="00C5502A">
        <w:rPr>
          <w:rFonts w:cstheme="minorHAnsi"/>
          <w:i/>
          <w:iCs/>
          <w:lang w:val="en-US"/>
        </w:rPr>
        <w:t>European Society of Sports Traumatology, Knee Surgery, Arthroscopy</w:t>
      </w:r>
      <w:r w:rsidR="00B50BD2" w:rsidRPr="00C5502A">
        <w:rPr>
          <w:rFonts w:cstheme="minorHAnsi"/>
          <w:lang w:val="en-US"/>
        </w:rPr>
        <w:t xml:space="preserve">, </w:t>
      </w:r>
      <w:r w:rsidR="00B50BD2" w:rsidRPr="00C5502A">
        <w:rPr>
          <w:rFonts w:cstheme="minorHAnsi"/>
          <w:i/>
          <w:iCs/>
          <w:lang w:val="en-US"/>
        </w:rPr>
        <w:t>29,</w:t>
      </w:r>
      <w:r w:rsidR="00B50BD2" w:rsidRPr="00C5502A">
        <w:rPr>
          <w:rFonts w:cstheme="minorHAnsi"/>
          <w:lang w:val="en-US"/>
        </w:rPr>
        <w:t xml:space="preserve"> 8-43.</w:t>
      </w:r>
      <w:r w:rsidRPr="00C5502A">
        <w:rPr>
          <w:rFonts w:cstheme="minorHAnsi"/>
          <w:lang w:val="en-US"/>
        </w:rPr>
        <w:t xml:space="preserve"> </w:t>
      </w:r>
      <w:hyperlink r:id="rId49" w:history="1">
        <w:r w:rsidR="00343726" w:rsidRPr="00946EF3">
          <w:rPr>
            <w:rStyle w:val="Hiperligao"/>
            <w:rFonts w:cstheme="minorHAnsi"/>
            <w:lang w:val="en-US"/>
          </w:rPr>
          <w:t>http://doi.org/10.1007/s00167-018-5231-9</w:t>
        </w:r>
      </w:hyperlink>
    </w:p>
    <w:p w14:paraId="04DC8016" w14:textId="5A55F599" w:rsidR="00E6475B" w:rsidRDefault="00E6475B" w:rsidP="002F7079">
      <w:pPr>
        <w:spacing w:after="120" w:line="240" w:lineRule="auto"/>
        <w:ind w:left="-170" w:right="-170"/>
        <w:jc w:val="both"/>
      </w:pPr>
      <w:r w:rsidRPr="00C5502A">
        <w:rPr>
          <w:rFonts w:cstheme="minorHAnsi"/>
        </w:rPr>
        <w:t xml:space="preserve">Santos, M. R., </w:t>
      </w:r>
      <w:proofErr w:type="spellStart"/>
      <w:r w:rsidRPr="00C5502A">
        <w:rPr>
          <w:rFonts w:cstheme="minorHAnsi"/>
        </w:rPr>
        <w:t>Burci</w:t>
      </w:r>
      <w:proofErr w:type="spellEnd"/>
      <w:r w:rsidRPr="00C5502A">
        <w:rPr>
          <w:rFonts w:cstheme="minorHAnsi"/>
        </w:rPr>
        <w:t xml:space="preserve">, L. M., &amp; </w:t>
      </w:r>
      <w:proofErr w:type="spellStart"/>
      <w:r w:rsidRPr="00C5502A">
        <w:rPr>
          <w:rFonts w:cstheme="minorHAnsi"/>
        </w:rPr>
        <w:t>Weigert</w:t>
      </w:r>
      <w:proofErr w:type="spellEnd"/>
      <w:r w:rsidRPr="00C5502A">
        <w:rPr>
          <w:rFonts w:cstheme="minorHAnsi"/>
        </w:rPr>
        <w:t>, S. P. (2018). Fatores de Risco e Prevenção de Infeção do Sítio Cirúrgico.</w:t>
      </w:r>
      <w:r w:rsidR="00B50BD2" w:rsidRPr="00C5502A">
        <w:rPr>
          <w:rFonts w:cstheme="minorHAnsi"/>
        </w:rPr>
        <w:t xml:space="preserve"> </w:t>
      </w:r>
      <w:r w:rsidRPr="00C5502A">
        <w:rPr>
          <w:rFonts w:cstheme="minorHAnsi"/>
          <w:i/>
          <w:iCs/>
        </w:rPr>
        <w:t>Revista Gestão &amp; Saúde, 18</w:t>
      </w:r>
      <w:r w:rsidRPr="00C5502A">
        <w:rPr>
          <w:rFonts w:cstheme="minorHAnsi"/>
        </w:rPr>
        <w:t>(1),</w:t>
      </w:r>
      <w:r w:rsidR="00B50BD2" w:rsidRPr="00C5502A">
        <w:rPr>
          <w:rFonts w:cstheme="minorHAnsi"/>
        </w:rPr>
        <w:t xml:space="preserve"> </w:t>
      </w:r>
      <w:r w:rsidRPr="00C5502A">
        <w:rPr>
          <w:rFonts w:cstheme="minorHAnsi"/>
        </w:rPr>
        <w:t>39-45.</w:t>
      </w:r>
      <w:r w:rsidR="00B50BD2" w:rsidRPr="00C5502A">
        <w:rPr>
          <w:rFonts w:cstheme="minorHAnsi"/>
        </w:rPr>
        <w:t xml:space="preserve"> </w:t>
      </w:r>
      <w:hyperlink r:id="rId50" w:history="1">
        <w:r w:rsidR="00343726" w:rsidRPr="00946EF3">
          <w:rPr>
            <w:rStyle w:val="Hiperligao"/>
            <w:rFonts w:cstheme="minorHAnsi"/>
          </w:rPr>
          <w:t>https://www.herrero.com.br/files/revista/file1697952adda1ba567e1b860228dc424f.pdf</w:t>
        </w:r>
      </w:hyperlink>
    </w:p>
    <w:p w14:paraId="5B2052DC" w14:textId="5FE0E628" w:rsidR="00E6475B" w:rsidRDefault="00E6475B" w:rsidP="002F7079">
      <w:pPr>
        <w:spacing w:after="120" w:line="240" w:lineRule="auto"/>
        <w:ind w:left="-170" w:right="-170"/>
        <w:jc w:val="both"/>
      </w:pPr>
      <w:r w:rsidRPr="00C5502A">
        <w:rPr>
          <w:rFonts w:cstheme="minorHAnsi"/>
        </w:rPr>
        <w:t xml:space="preserve">Silva, L., Silva, R., Carvalho, S., Façanha, D., Carvalho, R., &amp; Pereira, F. (2021). Fatores de risco para infeção de sitio cirúrgico em cirurgias </w:t>
      </w:r>
      <w:proofErr w:type="spellStart"/>
      <w:r w:rsidRPr="00C5502A">
        <w:rPr>
          <w:rFonts w:cstheme="minorHAnsi"/>
        </w:rPr>
        <w:t>traumato</w:t>
      </w:r>
      <w:proofErr w:type="spellEnd"/>
      <w:r w:rsidRPr="00C5502A">
        <w:rPr>
          <w:rFonts w:cstheme="minorHAnsi"/>
        </w:rPr>
        <w:t xml:space="preserve">-ortopédicas. </w:t>
      </w:r>
      <w:r w:rsidRPr="00C5502A">
        <w:rPr>
          <w:rFonts w:cstheme="minorHAnsi"/>
          <w:i/>
          <w:iCs/>
        </w:rPr>
        <w:t xml:space="preserve">Revista </w:t>
      </w:r>
      <w:proofErr w:type="spellStart"/>
      <w:r w:rsidRPr="00C5502A">
        <w:rPr>
          <w:rFonts w:cstheme="minorHAnsi"/>
          <w:i/>
          <w:iCs/>
        </w:rPr>
        <w:t>Cuidarte</w:t>
      </w:r>
      <w:proofErr w:type="spellEnd"/>
      <w:r w:rsidRPr="00C5502A">
        <w:rPr>
          <w:rFonts w:cstheme="minorHAnsi"/>
          <w:i/>
          <w:iCs/>
        </w:rPr>
        <w:t>, 12</w:t>
      </w:r>
      <w:r w:rsidRPr="00C5502A">
        <w:rPr>
          <w:rFonts w:cstheme="minorHAnsi"/>
        </w:rPr>
        <w:t xml:space="preserve">(2). </w:t>
      </w:r>
      <w:hyperlink r:id="rId51" w:history="1">
        <w:r w:rsidR="00343726" w:rsidRPr="00946EF3">
          <w:rPr>
            <w:rStyle w:val="Hiperligao"/>
            <w:rFonts w:cstheme="minorHAnsi"/>
          </w:rPr>
          <w:t>http://doi.org/10.15649/cuidarte.1292</w:t>
        </w:r>
      </w:hyperlink>
    </w:p>
    <w:p w14:paraId="3124B00B" w14:textId="4931BBDF" w:rsidR="00E6475B" w:rsidRDefault="00E6475B" w:rsidP="002F7079">
      <w:pPr>
        <w:spacing w:after="120" w:line="240" w:lineRule="auto"/>
        <w:ind w:left="-170" w:right="-170"/>
        <w:jc w:val="both"/>
      </w:pPr>
      <w:r w:rsidRPr="00C5502A">
        <w:rPr>
          <w:rFonts w:cstheme="minorHAnsi"/>
        </w:rPr>
        <w:t xml:space="preserve">Sousa, A., Oliveira, L., Carvalho, H., Ribeiro, I., Fronteira, I., &amp; Andrade, D. (2021). Ocorrência de complicações no pós-operatório tardio de artroplastia de joelho e quadril. </w:t>
      </w:r>
      <w:proofErr w:type="spellStart"/>
      <w:r w:rsidRPr="00C5502A">
        <w:rPr>
          <w:rFonts w:cstheme="minorHAnsi"/>
          <w:i/>
          <w:iCs/>
          <w:lang w:val="en-US"/>
        </w:rPr>
        <w:t>Revista</w:t>
      </w:r>
      <w:proofErr w:type="spellEnd"/>
      <w:r w:rsidRPr="00C5502A">
        <w:rPr>
          <w:rFonts w:cstheme="minorHAnsi"/>
          <w:i/>
          <w:iCs/>
          <w:lang w:val="en-US"/>
        </w:rPr>
        <w:t xml:space="preserve"> Fun Care Online</w:t>
      </w:r>
      <w:r w:rsidR="008F3519" w:rsidRPr="00C5502A">
        <w:rPr>
          <w:rFonts w:cstheme="minorHAnsi"/>
          <w:i/>
          <w:iCs/>
          <w:lang w:val="en-US"/>
        </w:rPr>
        <w:t xml:space="preserve">, </w:t>
      </w:r>
      <w:r w:rsidRPr="00C5502A">
        <w:rPr>
          <w:rFonts w:cstheme="minorHAnsi"/>
          <w:i/>
          <w:iCs/>
          <w:lang w:val="en-US"/>
        </w:rPr>
        <w:t>13</w:t>
      </w:r>
      <w:r w:rsidRPr="00C5502A">
        <w:rPr>
          <w:rFonts w:cstheme="minorHAnsi"/>
          <w:lang w:val="en-US"/>
        </w:rPr>
        <w:t xml:space="preserve">, 1271-1276. </w:t>
      </w:r>
      <w:hyperlink r:id="rId52" w:history="1">
        <w:r w:rsidR="00633789" w:rsidRPr="00946EF3">
          <w:rPr>
            <w:rStyle w:val="Hiperligao"/>
            <w:rFonts w:cstheme="minorHAnsi"/>
            <w:lang w:val="en-US"/>
          </w:rPr>
          <w:t>http://doi.org/10.9789/2175-5361.rpcfo.v13.9692</w:t>
        </w:r>
      </w:hyperlink>
    </w:p>
    <w:p w14:paraId="013178A6" w14:textId="1EA4F4C0" w:rsidR="00A150C8" w:rsidRPr="00AF0BBB" w:rsidRDefault="00A150C8" w:rsidP="002F7079">
      <w:pPr>
        <w:spacing w:after="120" w:line="240" w:lineRule="auto"/>
        <w:ind w:left="-170" w:right="-170"/>
        <w:jc w:val="both"/>
        <w:rPr>
          <w:lang w:val="en-US"/>
        </w:rPr>
      </w:pPr>
      <w:proofErr w:type="spellStart"/>
      <w:r w:rsidRPr="00C5502A">
        <w:rPr>
          <w:rFonts w:cstheme="minorHAnsi"/>
          <w:lang w:val="en-US"/>
        </w:rPr>
        <w:t>Surial</w:t>
      </w:r>
      <w:proofErr w:type="spellEnd"/>
      <w:r w:rsidRPr="00C5502A">
        <w:rPr>
          <w:rFonts w:cstheme="minorHAnsi"/>
          <w:lang w:val="en-US"/>
        </w:rPr>
        <w:t xml:space="preserve">, B., Atkinson, A., </w:t>
      </w:r>
      <w:proofErr w:type="spellStart"/>
      <w:r w:rsidRPr="00C5502A">
        <w:rPr>
          <w:rFonts w:cstheme="minorHAnsi"/>
          <w:lang w:val="en-US"/>
        </w:rPr>
        <w:t>Külpmann</w:t>
      </w:r>
      <w:proofErr w:type="spellEnd"/>
      <w:r w:rsidRPr="00C5502A">
        <w:rPr>
          <w:rFonts w:cstheme="minorHAnsi"/>
          <w:lang w:val="en-US"/>
        </w:rPr>
        <w:t xml:space="preserve">, R., Brunner, A., Hildebrand, K., Sicre, B., </w:t>
      </w:r>
      <w:proofErr w:type="spellStart"/>
      <w:r w:rsidRPr="00C5502A">
        <w:rPr>
          <w:rFonts w:cstheme="minorHAnsi"/>
          <w:lang w:val="en-US"/>
        </w:rPr>
        <w:t>Troillet</w:t>
      </w:r>
      <w:proofErr w:type="spellEnd"/>
      <w:r w:rsidRPr="00C5502A">
        <w:rPr>
          <w:rFonts w:cstheme="minorHAnsi"/>
          <w:lang w:val="en-US"/>
        </w:rPr>
        <w:t xml:space="preserve">, N., </w:t>
      </w:r>
      <w:r w:rsidR="00633789">
        <w:rPr>
          <w:rFonts w:cstheme="minorHAnsi"/>
          <w:lang w:val="en-US"/>
        </w:rPr>
        <w:t xml:space="preserve">… </w:t>
      </w:r>
      <w:r w:rsidRPr="00C5502A">
        <w:rPr>
          <w:rFonts w:cstheme="minorHAnsi"/>
          <w:lang w:val="en-US"/>
        </w:rPr>
        <w:t>Widmer, A</w:t>
      </w:r>
      <w:r w:rsidR="002D4870">
        <w:rPr>
          <w:rFonts w:cstheme="minorHAnsi"/>
          <w:lang w:val="en-US"/>
        </w:rPr>
        <w:t>.</w:t>
      </w:r>
      <w:r w:rsidR="00633789">
        <w:rPr>
          <w:rFonts w:cstheme="minorHAnsi"/>
          <w:lang w:val="en-US"/>
        </w:rPr>
        <w:t xml:space="preserve"> </w:t>
      </w:r>
      <w:r w:rsidRPr="00C5502A">
        <w:rPr>
          <w:rFonts w:cstheme="minorHAnsi"/>
          <w:lang w:val="en-US"/>
        </w:rPr>
        <w:t xml:space="preserve">(2022). </w:t>
      </w:r>
      <w:r w:rsidR="000D58AE" w:rsidRPr="00C5502A">
        <w:rPr>
          <w:rFonts w:cstheme="minorHAnsi"/>
          <w:lang w:val="en-US"/>
        </w:rPr>
        <w:t>Better operating room ventilation as determined by a novel ventilation index is associated with lower rates of surgical site infections</w:t>
      </w:r>
      <w:r w:rsidRPr="00C5502A">
        <w:rPr>
          <w:rFonts w:cstheme="minorHAnsi"/>
          <w:lang w:val="en-US"/>
        </w:rPr>
        <w:t xml:space="preserve">. </w:t>
      </w:r>
      <w:r w:rsidRPr="00C5502A">
        <w:rPr>
          <w:rFonts w:cstheme="minorHAnsi"/>
          <w:i/>
          <w:iCs/>
          <w:lang w:val="en-US"/>
        </w:rPr>
        <w:t>Annals of Surgery, 276</w:t>
      </w:r>
      <w:r w:rsidRPr="00C5502A">
        <w:rPr>
          <w:rFonts w:cstheme="minorHAnsi"/>
          <w:lang w:val="en-US"/>
        </w:rPr>
        <w:t>(5),</w:t>
      </w:r>
      <w:r w:rsidR="00DD4297" w:rsidRPr="00C5502A">
        <w:rPr>
          <w:rFonts w:cstheme="minorHAnsi"/>
          <w:lang w:val="en-US"/>
        </w:rPr>
        <w:t xml:space="preserve"> 353-360.</w:t>
      </w:r>
      <w:r w:rsidRPr="00C5502A">
        <w:rPr>
          <w:rFonts w:cstheme="minorHAnsi"/>
          <w:lang w:val="en-US"/>
        </w:rPr>
        <w:t xml:space="preserve"> </w:t>
      </w:r>
      <w:hyperlink r:id="rId53" w:history="1">
        <w:r w:rsidR="002D4870" w:rsidRPr="00946EF3">
          <w:rPr>
            <w:rStyle w:val="Hiperligao"/>
            <w:rFonts w:cstheme="minorHAnsi"/>
            <w:lang w:val="en-US"/>
          </w:rPr>
          <w:t>https://doi.org/10.1097/SLA.0000000000005670</w:t>
        </w:r>
      </w:hyperlink>
    </w:p>
    <w:p w14:paraId="1E2DB57E" w14:textId="12D45244" w:rsidR="00E6475B" w:rsidRDefault="00E6475B" w:rsidP="002F7079">
      <w:pPr>
        <w:spacing w:after="120" w:line="240" w:lineRule="auto"/>
        <w:ind w:left="-170" w:right="-170"/>
        <w:jc w:val="both"/>
      </w:pPr>
      <w:r w:rsidRPr="00C5502A">
        <w:rPr>
          <w:rFonts w:cstheme="minorHAnsi"/>
          <w:lang w:val="en-US"/>
        </w:rPr>
        <w:t xml:space="preserve">Tavares, M. R., Alencar, S. D., Frazão, S. P., Azi, M. L., </w:t>
      </w:r>
      <w:proofErr w:type="spellStart"/>
      <w:r w:rsidRPr="00C5502A">
        <w:rPr>
          <w:rFonts w:cstheme="minorHAnsi"/>
          <w:lang w:val="en-US"/>
        </w:rPr>
        <w:t>Sadgursky</w:t>
      </w:r>
      <w:proofErr w:type="spellEnd"/>
      <w:r w:rsidRPr="00C5502A">
        <w:rPr>
          <w:rFonts w:cstheme="minorHAnsi"/>
          <w:lang w:val="en-US"/>
        </w:rPr>
        <w:t xml:space="preserve">, D., &amp; Alencar, D. (2022). </w:t>
      </w:r>
      <w:r w:rsidRPr="00C5502A">
        <w:rPr>
          <w:rFonts w:cstheme="minorHAnsi"/>
        </w:rPr>
        <w:t xml:space="preserve">Fatores associados ao desenvolvimento de complicações precoces após artroplastia total do joelho. </w:t>
      </w:r>
      <w:r w:rsidRPr="00AF0BBB">
        <w:rPr>
          <w:rFonts w:cstheme="minorHAnsi"/>
          <w:i/>
          <w:iCs/>
        </w:rPr>
        <w:t>Revista Brasileira de Ortopedia, 57</w:t>
      </w:r>
      <w:r w:rsidRPr="00AF0BBB">
        <w:rPr>
          <w:rFonts w:cstheme="minorHAnsi"/>
        </w:rPr>
        <w:t xml:space="preserve">(4), 661-666. </w:t>
      </w:r>
      <w:hyperlink r:id="rId54" w:history="1">
        <w:r w:rsidR="00E06874" w:rsidRPr="00AF0BBB">
          <w:rPr>
            <w:rStyle w:val="Hiperligao"/>
            <w:rFonts w:cstheme="minorHAnsi"/>
          </w:rPr>
          <w:t>http://doi.org/10.1055/s-0041-1736309</w:t>
        </w:r>
      </w:hyperlink>
    </w:p>
    <w:p w14:paraId="7FB87708" w14:textId="16A8E4AB" w:rsidR="00E6475B" w:rsidRPr="00AF0BBB" w:rsidRDefault="00E6475B" w:rsidP="002F7079">
      <w:pPr>
        <w:spacing w:after="120" w:line="240" w:lineRule="auto"/>
        <w:ind w:left="-170" w:right="-170"/>
        <w:jc w:val="both"/>
        <w:rPr>
          <w:lang w:val="en-US"/>
        </w:rPr>
      </w:pPr>
      <w:proofErr w:type="spellStart"/>
      <w:r w:rsidRPr="00AF0BBB">
        <w:rPr>
          <w:rFonts w:cstheme="minorHAnsi"/>
        </w:rPr>
        <w:t>Tricco</w:t>
      </w:r>
      <w:proofErr w:type="spellEnd"/>
      <w:r w:rsidRPr="00AF0BBB">
        <w:rPr>
          <w:rFonts w:cstheme="minorHAnsi"/>
        </w:rPr>
        <w:t xml:space="preserve">, A. C., </w:t>
      </w:r>
      <w:proofErr w:type="spellStart"/>
      <w:r w:rsidRPr="00AF0BBB">
        <w:rPr>
          <w:rFonts w:cstheme="minorHAnsi"/>
        </w:rPr>
        <w:t>Lillie</w:t>
      </w:r>
      <w:proofErr w:type="spellEnd"/>
      <w:r w:rsidRPr="00AF0BBB">
        <w:rPr>
          <w:rFonts w:cstheme="minorHAnsi"/>
        </w:rPr>
        <w:t xml:space="preserve">, E., </w:t>
      </w:r>
      <w:proofErr w:type="spellStart"/>
      <w:r w:rsidRPr="00AF0BBB">
        <w:rPr>
          <w:rFonts w:cstheme="minorHAnsi"/>
        </w:rPr>
        <w:t>Zarin</w:t>
      </w:r>
      <w:proofErr w:type="spellEnd"/>
      <w:r w:rsidRPr="00AF0BBB">
        <w:rPr>
          <w:rFonts w:cstheme="minorHAnsi"/>
        </w:rPr>
        <w:t xml:space="preserve">, W., O'Brien, K. K., </w:t>
      </w:r>
      <w:proofErr w:type="spellStart"/>
      <w:r w:rsidRPr="00AF0BBB">
        <w:rPr>
          <w:rFonts w:cstheme="minorHAnsi"/>
        </w:rPr>
        <w:t>Colquhoun</w:t>
      </w:r>
      <w:proofErr w:type="spellEnd"/>
      <w:r w:rsidRPr="00AF0BBB">
        <w:rPr>
          <w:rFonts w:cstheme="minorHAnsi"/>
        </w:rPr>
        <w:t xml:space="preserve">, H., </w:t>
      </w:r>
      <w:proofErr w:type="spellStart"/>
      <w:r w:rsidRPr="00AF0BBB">
        <w:rPr>
          <w:rFonts w:cstheme="minorHAnsi"/>
        </w:rPr>
        <w:t>Levac</w:t>
      </w:r>
      <w:proofErr w:type="spellEnd"/>
      <w:r w:rsidRPr="00AF0BBB">
        <w:rPr>
          <w:rFonts w:cstheme="minorHAnsi"/>
        </w:rPr>
        <w:t xml:space="preserve">, D., </w:t>
      </w:r>
      <w:proofErr w:type="spellStart"/>
      <w:r w:rsidRPr="00AF0BBB">
        <w:rPr>
          <w:rFonts w:cstheme="minorHAnsi"/>
        </w:rPr>
        <w:t>Moher</w:t>
      </w:r>
      <w:proofErr w:type="spellEnd"/>
      <w:r w:rsidRPr="00AF0BBB">
        <w:rPr>
          <w:rFonts w:cstheme="minorHAnsi"/>
        </w:rPr>
        <w:t xml:space="preserve">, D., </w:t>
      </w:r>
      <w:r w:rsidR="00633789" w:rsidRPr="00AF0BBB">
        <w:rPr>
          <w:rFonts w:cstheme="minorHAnsi"/>
        </w:rPr>
        <w:t xml:space="preserve">… </w:t>
      </w:r>
      <w:r w:rsidRPr="00C5502A">
        <w:rPr>
          <w:rFonts w:cstheme="minorHAnsi"/>
          <w:lang w:val="en-US"/>
        </w:rPr>
        <w:t>Peters, M. D. J.</w:t>
      </w:r>
      <w:r w:rsidR="00633789">
        <w:rPr>
          <w:rFonts w:cstheme="minorHAnsi"/>
          <w:lang w:val="en-US"/>
        </w:rPr>
        <w:t xml:space="preserve"> </w:t>
      </w:r>
      <w:r w:rsidRPr="00C5502A">
        <w:rPr>
          <w:rFonts w:cstheme="minorHAnsi"/>
          <w:lang w:val="en-US"/>
        </w:rPr>
        <w:t xml:space="preserve">(2018). PRISMA </w:t>
      </w:r>
      <w:r w:rsidR="00B50BD2" w:rsidRPr="00C5502A">
        <w:rPr>
          <w:rFonts w:cstheme="minorHAnsi"/>
          <w:lang w:val="en-US"/>
        </w:rPr>
        <w:t>e</w:t>
      </w:r>
      <w:r w:rsidRPr="00C5502A">
        <w:rPr>
          <w:rFonts w:cstheme="minorHAnsi"/>
          <w:lang w:val="en-US"/>
        </w:rPr>
        <w:t xml:space="preserve">xtension for </w:t>
      </w:r>
      <w:r w:rsidR="00B50BD2" w:rsidRPr="00C5502A">
        <w:rPr>
          <w:rFonts w:cstheme="minorHAnsi"/>
          <w:lang w:val="en-US"/>
        </w:rPr>
        <w:t>s</w:t>
      </w:r>
      <w:r w:rsidRPr="00C5502A">
        <w:rPr>
          <w:rFonts w:cstheme="minorHAnsi"/>
          <w:lang w:val="en-US"/>
        </w:rPr>
        <w:t xml:space="preserve">coping </w:t>
      </w:r>
      <w:r w:rsidR="00B50BD2" w:rsidRPr="00C5502A">
        <w:rPr>
          <w:rFonts w:cstheme="minorHAnsi"/>
          <w:lang w:val="en-US"/>
        </w:rPr>
        <w:t>r</w:t>
      </w:r>
      <w:r w:rsidRPr="00C5502A">
        <w:rPr>
          <w:rFonts w:cstheme="minorHAnsi"/>
          <w:lang w:val="en-US"/>
        </w:rPr>
        <w:t>eviews (PRISMA-</w:t>
      </w:r>
      <w:proofErr w:type="spellStart"/>
      <w:r w:rsidRPr="00C5502A">
        <w:rPr>
          <w:rFonts w:cstheme="minorHAnsi"/>
          <w:lang w:val="en-US"/>
        </w:rPr>
        <w:t>ScR</w:t>
      </w:r>
      <w:proofErr w:type="spellEnd"/>
      <w:r w:rsidRPr="00C5502A">
        <w:rPr>
          <w:rFonts w:cstheme="minorHAnsi"/>
          <w:lang w:val="en-US"/>
        </w:rPr>
        <w:t xml:space="preserve">): </w:t>
      </w:r>
      <w:r w:rsidR="00B50BD2" w:rsidRPr="00C5502A">
        <w:rPr>
          <w:rFonts w:cstheme="minorHAnsi"/>
          <w:lang w:val="en-US"/>
        </w:rPr>
        <w:t>c</w:t>
      </w:r>
      <w:r w:rsidRPr="00C5502A">
        <w:rPr>
          <w:rFonts w:cstheme="minorHAnsi"/>
          <w:lang w:val="en-US"/>
        </w:rPr>
        <w:t xml:space="preserve">hecklist and </w:t>
      </w:r>
      <w:r w:rsidR="00B50BD2" w:rsidRPr="00C5502A">
        <w:rPr>
          <w:rFonts w:cstheme="minorHAnsi"/>
          <w:lang w:val="en-US"/>
        </w:rPr>
        <w:t>e</w:t>
      </w:r>
      <w:r w:rsidRPr="00C5502A">
        <w:rPr>
          <w:rFonts w:cstheme="minorHAnsi"/>
          <w:lang w:val="en-US"/>
        </w:rPr>
        <w:t xml:space="preserve">xplanation. </w:t>
      </w:r>
      <w:r w:rsidRPr="00C5502A">
        <w:rPr>
          <w:rFonts w:cstheme="minorHAnsi"/>
          <w:i/>
          <w:iCs/>
          <w:lang w:val="en-US"/>
        </w:rPr>
        <w:t>Annals of Internal Medicine, 169</w:t>
      </w:r>
      <w:r w:rsidRPr="00C5502A">
        <w:rPr>
          <w:rFonts w:cstheme="minorHAnsi"/>
          <w:lang w:val="en-US"/>
        </w:rPr>
        <w:t xml:space="preserve">(7). </w:t>
      </w:r>
      <w:hyperlink r:id="rId55" w:history="1">
        <w:r w:rsidR="00C5502A" w:rsidRPr="00946EF3">
          <w:rPr>
            <w:rStyle w:val="Hiperligao"/>
            <w:rFonts w:cstheme="minorHAnsi"/>
            <w:lang w:val="en-US"/>
          </w:rPr>
          <w:t>http://doi.org/10.7326/M18-085</w:t>
        </w:r>
        <w:r w:rsidR="00C5502A" w:rsidRPr="00AF0BBB">
          <w:rPr>
            <w:rStyle w:val="Hiperligao"/>
            <w:lang w:val="en-US"/>
          </w:rPr>
          <w:t>0</w:t>
        </w:r>
      </w:hyperlink>
    </w:p>
    <w:p w14:paraId="7F06D477" w14:textId="4309C82E" w:rsidR="00C5502A" w:rsidRPr="00AF0BBB" w:rsidRDefault="00E6475B" w:rsidP="002F7079">
      <w:pPr>
        <w:spacing w:after="120" w:line="240" w:lineRule="auto"/>
        <w:ind w:left="-170" w:right="-170"/>
        <w:jc w:val="both"/>
        <w:rPr>
          <w:lang w:val="en-US"/>
        </w:rPr>
      </w:pPr>
      <w:r w:rsidRPr="00C5502A">
        <w:rPr>
          <w:rFonts w:cstheme="minorHAnsi"/>
          <w:lang w:val="en-US"/>
        </w:rPr>
        <w:t>World Health Organization</w:t>
      </w:r>
      <w:r w:rsidR="00C72487" w:rsidRPr="00C5502A">
        <w:rPr>
          <w:rFonts w:cstheme="minorHAnsi"/>
          <w:lang w:val="en-US"/>
        </w:rPr>
        <w:t>.</w:t>
      </w:r>
      <w:r w:rsidRPr="00C5502A">
        <w:rPr>
          <w:rFonts w:cstheme="minorHAnsi"/>
          <w:lang w:val="en-US"/>
        </w:rPr>
        <w:t xml:space="preserve"> (2023). </w:t>
      </w:r>
      <w:r w:rsidRPr="00C5502A">
        <w:rPr>
          <w:rFonts w:cstheme="minorHAnsi"/>
          <w:i/>
          <w:iCs/>
          <w:lang w:val="en-US"/>
        </w:rPr>
        <w:t>Osteoarthritis</w:t>
      </w:r>
      <w:r w:rsidRPr="00C5502A">
        <w:rPr>
          <w:rFonts w:cstheme="minorHAnsi"/>
          <w:lang w:val="en-US"/>
        </w:rPr>
        <w:t xml:space="preserve">. </w:t>
      </w:r>
      <w:hyperlink r:id="rId56" w:history="1">
        <w:r w:rsidR="00C5502A" w:rsidRPr="00946EF3">
          <w:rPr>
            <w:rStyle w:val="Hiperligao"/>
            <w:rFonts w:cstheme="minorHAnsi"/>
            <w:lang w:val="en-US"/>
          </w:rPr>
          <w:t>https://www.who.int/news-room/fact-sheets/detail/osteoarthritis</w:t>
        </w:r>
        <w:r w:rsidR="00C5502A" w:rsidRPr="00AF0BBB">
          <w:rPr>
            <w:rStyle w:val="Hiperligao"/>
            <w:lang w:val="en-US"/>
          </w:rPr>
          <w:t>s</w:t>
        </w:r>
      </w:hyperlink>
    </w:p>
    <w:p w14:paraId="68C17A35" w14:textId="77777777" w:rsidR="002F7079" w:rsidRDefault="00E6475B" w:rsidP="002F7079">
      <w:pPr>
        <w:spacing w:after="120" w:line="240" w:lineRule="auto"/>
        <w:ind w:left="-170" w:right="-170"/>
        <w:jc w:val="both"/>
        <w:rPr>
          <w:rFonts w:cstheme="minorHAnsi"/>
          <w:lang w:val="en-US"/>
        </w:rPr>
        <w:sectPr w:rsidR="002F7079" w:rsidSect="002F7079">
          <w:type w:val="continuous"/>
          <w:pgSz w:w="11906" w:h="16838"/>
          <w:pgMar w:top="1135" w:right="1080" w:bottom="568" w:left="1080" w:header="709" w:footer="709" w:gutter="0"/>
          <w:cols w:num="2" w:space="708"/>
          <w:titlePg/>
          <w:docGrid w:linePitch="360"/>
        </w:sectPr>
      </w:pPr>
      <w:r w:rsidRPr="00C5502A">
        <w:rPr>
          <w:rFonts w:cstheme="minorHAnsi"/>
          <w:lang w:val="en-US"/>
        </w:rPr>
        <w:t xml:space="preserve">Yang, G., Zhu, Y., &amp; Zhang, Y. (2020). Prognostic risk factors of surgical site infection after primary joint arthroplasty. A retrospective cohort study. </w:t>
      </w:r>
      <w:r w:rsidRPr="00C5502A">
        <w:rPr>
          <w:rFonts w:cstheme="minorHAnsi"/>
          <w:i/>
          <w:iCs/>
          <w:lang w:val="en-US"/>
        </w:rPr>
        <w:t>Medicine, 99</w:t>
      </w:r>
      <w:r w:rsidRPr="00C5502A">
        <w:rPr>
          <w:rFonts w:cstheme="minorHAnsi"/>
          <w:lang w:val="en-US"/>
        </w:rPr>
        <w:t xml:space="preserve">(8), 1-6. </w:t>
      </w:r>
      <w:hyperlink r:id="rId57" w:history="1">
        <w:r w:rsidR="00C5502A" w:rsidRPr="00946EF3">
          <w:rPr>
            <w:rStyle w:val="Hiperligao"/>
            <w:rFonts w:cstheme="minorHAnsi"/>
            <w:lang w:val="en-US"/>
          </w:rPr>
          <w:t>http://doi.org/10.1097/md.0000000000019283</w:t>
        </w:r>
      </w:hyperlink>
    </w:p>
    <w:p w14:paraId="233842E5" w14:textId="588B9CAF" w:rsidR="00C5502A" w:rsidRDefault="00C5502A" w:rsidP="00B71500">
      <w:pPr>
        <w:spacing w:after="120" w:line="240" w:lineRule="auto"/>
        <w:jc w:val="both"/>
      </w:pPr>
    </w:p>
    <w:sectPr w:rsidR="00C5502A" w:rsidSect="00650AF9">
      <w:type w:val="continuous"/>
      <w:pgSz w:w="11906" w:h="16838"/>
      <w:pgMar w:top="1135" w:right="1080" w:bottom="568"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DED4" w14:textId="77777777" w:rsidR="000A01DA" w:rsidRDefault="000A01DA" w:rsidP="004F6933">
      <w:pPr>
        <w:spacing w:after="0" w:line="240" w:lineRule="auto"/>
      </w:pPr>
      <w:r>
        <w:separator/>
      </w:r>
    </w:p>
  </w:endnote>
  <w:endnote w:type="continuationSeparator" w:id="0">
    <w:p w14:paraId="79815113" w14:textId="77777777" w:rsidR="000A01DA" w:rsidRDefault="000A01DA" w:rsidP="004F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76429"/>
      <w:docPartObj>
        <w:docPartGallery w:val="Page Numbers (Bottom of Page)"/>
        <w:docPartUnique/>
      </w:docPartObj>
    </w:sdtPr>
    <w:sdtEndPr>
      <w:rPr>
        <w:rFonts w:ascii="Calibri" w:hAnsi="Calibri" w:cs="Calibri"/>
      </w:rPr>
    </w:sdtEndPr>
    <w:sdtContent>
      <w:p w14:paraId="7ABC3B96" w14:textId="77777777" w:rsidR="00A62C34" w:rsidRPr="00CD0AE3" w:rsidRDefault="00A62C34" w:rsidP="00A62C34">
        <w:pPr>
          <w:pStyle w:val="Rodap"/>
          <w:ind w:left="-170" w:right="-170"/>
          <w:jc w:val="center"/>
          <w:rPr>
            <w:rFonts w:ascii="Calibri" w:hAnsi="Calibri" w:cs="Calibri"/>
          </w:rPr>
        </w:pPr>
        <w:r w:rsidRPr="00CD0AE3">
          <w:rPr>
            <w:rFonts w:ascii="Calibri" w:hAnsi="Calibri" w:cs="Calibri"/>
          </w:rPr>
          <w:fldChar w:fldCharType="begin"/>
        </w:r>
        <w:r w:rsidRPr="00CD0AE3">
          <w:rPr>
            <w:rFonts w:ascii="Calibri" w:hAnsi="Calibri" w:cs="Calibri"/>
          </w:rPr>
          <w:instrText>PAGE   \* MERGEFORMAT</w:instrText>
        </w:r>
        <w:r w:rsidRPr="00CD0AE3">
          <w:rPr>
            <w:rFonts w:ascii="Calibri" w:hAnsi="Calibri" w:cs="Calibri"/>
          </w:rPr>
          <w:fldChar w:fldCharType="separate"/>
        </w:r>
        <w:r>
          <w:rPr>
            <w:rFonts w:ascii="Calibri" w:hAnsi="Calibri" w:cs="Calibri"/>
          </w:rPr>
          <w:t>2</w:t>
        </w:r>
        <w:r w:rsidRPr="00CD0AE3">
          <w:rPr>
            <w:rFonts w:ascii="Calibri" w:hAnsi="Calibri" w:cs="Calibri"/>
          </w:rPr>
          <w:fldChar w:fldCharType="end"/>
        </w:r>
      </w:p>
    </w:sdtContent>
  </w:sdt>
  <w:p w14:paraId="2246F1A4" w14:textId="77777777" w:rsidR="00A62C34" w:rsidRPr="00CD0AE3" w:rsidRDefault="00A62C34" w:rsidP="00A62C34">
    <w:pPr>
      <w:pStyle w:val="Rodap"/>
      <w:ind w:left="-170" w:right="-170"/>
      <w:jc w:val="right"/>
      <w:rPr>
        <w:rFonts w:ascii="Calibri" w:hAnsi="Calibri" w:cs="Calibri"/>
      </w:rPr>
    </w:pPr>
    <w:r w:rsidRPr="00CD0AE3">
      <w:rPr>
        <w:rFonts w:ascii="Calibri" w:hAnsi="Calibri" w:cs="Calibri"/>
      </w:rPr>
      <w:t>RIIS</w:t>
    </w:r>
  </w:p>
  <w:p w14:paraId="16B0D5B5" w14:textId="240634DC" w:rsidR="00A62C34" w:rsidRPr="002C2284" w:rsidRDefault="002F7079" w:rsidP="00A62C34">
    <w:pPr>
      <w:pStyle w:val="Rodap"/>
      <w:tabs>
        <w:tab w:val="clear" w:pos="8504"/>
        <w:tab w:val="right" w:pos="9916"/>
      </w:tabs>
      <w:ind w:left="-170" w:right="-170"/>
      <w:rPr>
        <w:rFonts w:ascii="Calibri" w:hAnsi="Calibri" w:cs="Calibri"/>
      </w:rPr>
    </w:pPr>
    <w:hyperlink r:id="rId1" w:history="1">
      <w:r w:rsidRPr="00946EF3">
        <w:rPr>
          <w:rStyle w:val="Hiperligao"/>
          <w:rFonts w:cstheme="minorHAnsi"/>
        </w:rPr>
        <w:t>https://doi.org/10.37914/riis.v8i1.404</w:t>
      </w:r>
    </w:hyperlink>
    <w:r w:rsidR="00A62C34" w:rsidRPr="002C2284">
      <w:rPr>
        <w:rFonts w:cstheme="minorHAnsi"/>
      </w:rPr>
      <w:t xml:space="preserve">            </w:t>
    </w:r>
    <w:r w:rsidR="00A62C34" w:rsidRPr="00A62C34">
      <w:rPr>
        <w:rFonts w:cstheme="minorHAnsi"/>
        <w:sz w:val="28"/>
        <w:szCs w:val="28"/>
      </w:rPr>
      <w:t xml:space="preserve"> </w:t>
    </w:r>
    <w:r w:rsidR="00A62C34" w:rsidRPr="002C2284">
      <w:rPr>
        <w:rFonts w:cstheme="minorHAnsi"/>
      </w:rPr>
      <w:t xml:space="preserve">                                       Revista de Investigação &amp; Inovação em Saúde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3E86" w14:textId="77777777" w:rsidR="001C0E1E" w:rsidRPr="001E32E0" w:rsidRDefault="001C0E1E" w:rsidP="001C0E1E">
    <w:pPr>
      <w:pStyle w:val="Rodap"/>
      <w:tabs>
        <w:tab w:val="clear" w:pos="4252"/>
      </w:tabs>
      <w:ind w:left="-113" w:right="-170"/>
      <w:jc w:val="center"/>
      <w:rPr>
        <w:rFonts w:cstheme="minorHAnsi"/>
      </w:rPr>
    </w:pPr>
    <w:r w:rsidRPr="001E32E0">
      <w:rPr>
        <w:rFonts w:cstheme="minorHAnsi"/>
        <w:noProof/>
        <w:lang w:eastAsia="pt-PT"/>
      </w:rPr>
      <w:drawing>
        <wp:anchor distT="0" distB="0" distL="114300" distR="114300" simplePos="0" relativeHeight="251659264" behindDoc="0" locked="0" layoutInCell="1" allowOverlap="1" wp14:anchorId="23126302" wp14:editId="136D0B70">
          <wp:simplePos x="0" y="0"/>
          <wp:positionH relativeFrom="column">
            <wp:posOffset>-112395</wp:posOffset>
          </wp:positionH>
          <wp:positionV relativeFrom="paragraph">
            <wp:posOffset>94615</wp:posOffset>
          </wp:positionV>
          <wp:extent cx="716915" cy="254000"/>
          <wp:effectExtent l="0" t="0" r="6985" b="0"/>
          <wp:wrapNone/>
          <wp:docPr id="64841047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254000"/>
                  </a:xfrm>
                  <a:prstGeom prst="rect">
                    <a:avLst/>
                  </a:prstGeom>
                  <a:noFill/>
                </pic:spPr>
              </pic:pic>
            </a:graphicData>
          </a:graphic>
          <wp14:sizeRelH relativeFrom="page">
            <wp14:pctWidth>0</wp14:pctWidth>
          </wp14:sizeRelH>
          <wp14:sizeRelV relativeFrom="page">
            <wp14:pctHeight>0</wp14:pctHeight>
          </wp14:sizeRelV>
        </wp:anchor>
      </w:drawing>
    </w:r>
    <w:r w:rsidRPr="001E32E0">
      <w:rPr>
        <w:rFonts w:cstheme="minorHAnsi"/>
      </w:rPr>
      <w:fldChar w:fldCharType="begin"/>
    </w:r>
    <w:r w:rsidRPr="001E32E0">
      <w:rPr>
        <w:rFonts w:cstheme="minorHAnsi"/>
      </w:rPr>
      <w:instrText>PAGE   \* MERGEFORMAT</w:instrText>
    </w:r>
    <w:r w:rsidRPr="001E32E0">
      <w:rPr>
        <w:rFonts w:cstheme="minorHAnsi"/>
      </w:rPr>
      <w:fldChar w:fldCharType="separate"/>
    </w:r>
    <w:r>
      <w:rPr>
        <w:rFonts w:cstheme="minorHAnsi"/>
      </w:rPr>
      <w:t>1</w:t>
    </w:r>
    <w:r w:rsidRPr="001E32E0">
      <w:rPr>
        <w:rFonts w:cstheme="minorHAnsi"/>
      </w:rPr>
      <w:fldChar w:fldCharType="end"/>
    </w:r>
  </w:p>
  <w:p w14:paraId="67407AE3" w14:textId="77777777" w:rsidR="001C0E1E" w:rsidRPr="001E32E0" w:rsidRDefault="001C0E1E" w:rsidP="001C0E1E">
    <w:pPr>
      <w:pStyle w:val="Rodap"/>
      <w:ind w:left="-113" w:right="-170"/>
      <w:jc w:val="right"/>
      <w:rPr>
        <w:rFonts w:cstheme="minorHAnsi"/>
      </w:rPr>
    </w:pPr>
    <w:r w:rsidRPr="001E32E0">
      <w:rPr>
        <w:rFonts w:cstheme="minorHAnsi"/>
      </w:rPr>
      <w:t>RIIS</w:t>
    </w:r>
  </w:p>
  <w:p w14:paraId="6D9FC0DC" w14:textId="40AF3482" w:rsidR="00DC6289" w:rsidRPr="001C0E1E" w:rsidRDefault="001C0E1E" w:rsidP="001C0E1E">
    <w:pPr>
      <w:pStyle w:val="Rodap"/>
      <w:ind w:left="-170" w:right="-170"/>
    </w:pPr>
    <w:r w:rsidRPr="001E32E0">
      <w:rPr>
        <w:rFonts w:cstheme="minorHAnsi"/>
      </w:rPr>
      <w:t xml:space="preserve">eISSN:2184-3791                                                                      </w:t>
    </w:r>
    <w:r>
      <w:rPr>
        <w:rFonts w:cstheme="minorHAnsi"/>
      </w:rPr>
      <w:t xml:space="preserve">   </w:t>
    </w:r>
    <w:r w:rsidRPr="001E32E0">
      <w:rPr>
        <w:rFonts w:cstheme="minorHAnsi"/>
      </w:rPr>
      <w:t xml:space="preserve">            </w:t>
    </w:r>
    <w:r w:rsidR="008E2D1C">
      <w:rPr>
        <w:rFonts w:cstheme="minorHAnsi"/>
      </w:rPr>
      <w:t xml:space="preserve"> </w:t>
    </w:r>
    <w:r w:rsidRPr="001E32E0">
      <w:rPr>
        <w:rFonts w:cstheme="minorHAnsi"/>
      </w:rPr>
      <w:t xml:space="preserve">   </w:t>
    </w:r>
    <w:r w:rsidR="008E2D1C" w:rsidRPr="001E32E0">
      <w:rPr>
        <w:rFonts w:cstheme="minorHAnsi"/>
      </w:rPr>
      <w:tab/>
      <w:t xml:space="preserve"> Revista</w:t>
    </w:r>
    <w:r w:rsidRPr="001E32E0">
      <w:rPr>
        <w:rFonts w:cstheme="minorHAnsi"/>
      </w:rPr>
      <w:t xml:space="preserve"> de Investigação &amp; Inovação em Saúde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34D8" w14:textId="77777777" w:rsidR="000A01DA" w:rsidRDefault="000A01DA" w:rsidP="004F6933">
      <w:pPr>
        <w:spacing w:after="0" w:line="240" w:lineRule="auto"/>
      </w:pPr>
      <w:r>
        <w:separator/>
      </w:r>
    </w:p>
  </w:footnote>
  <w:footnote w:type="continuationSeparator" w:id="0">
    <w:p w14:paraId="792C5629" w14:textId="77777777" w:rsidR="000A01DA" w:rsidRDefault="000A01DA" w:rsidP="004F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6C5" w14:textId="371CBE90" w:rsidR="004819B7" w:rsidRPr="002E3946" w:rsidRDefault="00051003" w:rsidP="004819B7">
    <w:pPr>
      <w:pStyle w:val="Ttulo"/>
      <w:spacing w:after="0"/>
      <w:ind w:left="-170" w:right="-170"/>
      <w:jc w:val="center"/>
      <w:rPr>
        <w:bCs/>
        <w:sz w:val="22"/>
      </w:rPr>
    </w:pPr>
    <w:r>
      <w:rPr>
        <w:bCs/>
        <w:caps w:val="0"/>
        <w:sz w:val="22"/>
      </w:rPr>
      <w:t>Forte, L</w:t>
    </w:r>
    <w:r w:rsidR="004819B7">
      <w:rPr>
        <w:bCs/>
        <w:caps w:val="0"/>
        <w:sz w:val="22"/>
      </w:rPr>
      <w:t>.</w:t>
    </w:r>
    <w:r>
      <w:rPr>
        <w:bCs/>
        <w:caps w:val="0"/>
        <w:sz w:val="22"/>
      </w:rPr>
      <w:t xml:space="preserve">, &amp; </w:t>
    </w:r>
    <w:r w:rsidR="008E2D1C">
      <w:rPr>
        <w:bCs/>
        <w:caps w:val="0"/>
        <w:sz w:val="22"/>
      </w:rPr>
      <w:t>Novais,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F1D8" w14:textId="78A47624" w:rsidR="0024164E" w:rsidRPr="007B7EF2" w:rsidRDefault="007B7EF2" w:rsidP="007B7EF2">
    <w:pPr>
      <w:pStyle w:val="Cabealho"/>
      <w:tabs>
        <w:tab w:val="clear" w:pos="8504"/>
        <w:tab w:val="right" w:pos="9916"/>
      </w:tabs>
      <w:ind w:left="-170" w:right="-170"/>
      <w:rPr>
        <w:rFonts w:cstheme="minorHAnsi"/>
      </w:rPr>
    </w:pPr>
    <w:bookmarkStart w:id="2" w:name="_Hlk162969229"/>
    <w:r w:rsidRPr="00D33B5B">
      <w:rPr>
        <w:rFonts w:cstheme="minorHAnsi"/>
      </w:rPr>
      <w:t xml:space="preserve">ARTIGO DE </w:t>
    </w:r>
    <w:r>
      <w:rPr>
        <w:rFonts w:cstheme="minorHAnsi"/>
      </w:rPr>
      <w:t xml:space="preserve">REVISÃO                                                                                                                                   RIIS | vol.8(1), </w:t>
    </w:r>
    <w:r w:rsidRPr="007516B4">
      <w:rPr>
        <w:rFonts w:cstheme="minorHAnsi"/>
      </w:rPr>
      <w:t>1-1</w:t>
    </w:r>
    <w:bookmarkEnd w:id="2"/>
    <w:r w:rsidR="00711372">
      <w:rPr>
        <w:rFonts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9557C"/>
    <w:multiLevelType w:val="hybridMultilevel"/>
    <w:tmpl w:val="605066D6"/>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3162D48"/>
    <w:multiLevelType w:val="hybridMultilevel"/>
    <w:tmpl w:val="9CCE0BB4"/>
    <w:lvl w:ilvl="0" w:tplc="77B4A910">
      <w:start w:val="1"/>
      <w:numFmt w:val="bullet"/>
      <w:lvlText w:val="•"/>
      <w:lvlJc w:val="left"/>
      <w:pPr>
        <w:tabs>
          <w:tab w:val="num" w:pos="720"/>
        </w:tabs>
        <w:ind w:left="720" w:hanging="360"/>
      </w:pPr>
      <w:rPr>
        <w:rFonts w:ascii="Arial" w:hAnsi="Arial" w:hint="default"/>
      </w:rPr>
    </w:lvl>
    <w:lvl w:ilvl="1" w:tplc="7FBCB660" w:tentative="1">
      <w:start w:val="1"/>
      <w:numFmt w:val="bullet"/>
      <w:lvlText w:val="•"/>
      <w:lvlJc w:val="left"/>
      <w:pPr>
        <w:tabs>
          <w:tab w:val="num" w:pos="1440"/>
        </w:tabs>
        <w:ind w:left="1440" w:hanging="360"/>
      </w:pPr>
      <w:rPr>
        <w:rFonts w:ascii="Arial" w:hAnsi="Arial" w:hint="default"/>
      </w:rPr>
    </w:lvl>
    <w:lvl w:ilvl="2" w:tplc="FE3E5614" w:tentative="1">
      <w:start w:val="1"/>
      <w:numFmt w:val="bullet"/>
      <w:lvlText w:val="•"/>
      <w:lvlJc w:val="left"/>
      <w:pPr>
        <w:tabs>
          <w:tab w:val="num" w:pos="2160"/>
        </w:tabs>
        <w:ind w:left="2160" w:hanging="360"/>
      </w:pPr>
      <w:rPr>
        <w:rFonts w:ascii="Arial" w:hAnsi="Arial" w:hint="default"/>
      </w:rPr>
    </w:lvl>
    <w:lvl w:ilvl="3" w:tplc="C840B6BC" w:tentative="1">
      <w:start w:val="1"/>
      <w:numFmt w:val="bullet"/>
      <w:lvlText w:val="•"/>
      <w:lvlJc w:val="left"/>
      <w:pPr>
        <w:tabs>
          <w:tab w:val="num" w:pos="2880"/>
        </w:tabs>
        <w:ind w:left="2880" w:hanging="360"/>
      </w:pPr>
      <w:rPr>
        <w:rFonts w:ascii="Arial" w:hAnsi="Arial" w:hint="default"/>
      </w:rPr>
    </w:lvl>
    <w:lvl w:ilvl="4" w:tplc="DCAC4CE0" w:tentative="1">
      <w:start w:val="1"/>
      <w:numFmt w:val="bullet"/>
      <w:lvlText w:val="•"/>
      <w:lvlJc w:val="left"/>
      <w:pPr>
        <w:tabs>
          <w:tab w:val="num" w:pos="3600"/>
        </w:tabs>
        <w:ind w:left="3600" w:hanging="360"/>
      </w:pPr>
      <w:rPr>
        <w:rFonts w:ascii="Arial" w:hAnsi="Arial" w:hint="default"/>
      </w:rPr>
    </w:lvl>
    <w:lvl w:ilvl="5" w:tplc="80548526" w:tentative="1">
      <w:start w:val="1"/>
      <w:numFmt w:val="bullet"/>
      <w:lvlText w:val="•"/>
      <w:lvlJc w:val="left"/>
      <w:pPr>
        <w:tabs>
          <w:tab w:val="num" w:pos="4320"/>
        </w:tabs>
        <w:ind w:left="4320" w:hanging="360"/>
      </w:pPr>
      <w:rPr>
        <w:rFonts w:ascii="Arial" w:hAnsi="Arial" w:hint="default"/>
      </w:rPr>
    </w:lvl>
    <w:lvl w:ilvl="6" w:tplc="71B49554" w:tentative="1">
      <w:start w:val="1"/>
      <w:numFmt w:val="bullet"/>
      <w:lvlText w:val="•"/>
      <w:lvlJc w:val="left"/>
      <w:pPr>
        <w:tabs>
          <w:tab w:val="num" w:pos="5040"/>
        </w:tabs>
        <w:ind w:left="5040" w:hanging="360"/>
      </w:pPr>
      <w:rPr>
        <w:rFonts w:ascii="Arial" w:hAnsi="Arial" w:hint="default"/>
      </w:rPr>
    </w:lvl>
    <w:lvl w:ilvl="7" w:tplc="310283EC" w:tentative="1">
      <w:start w:val="1"/>
      <w:numFmt w:val="bullet"/>
      <w:lvlText w:val="•"/>
      <w:lvlJc w:val="left"/>
      <w:pPr>
        <w:tabs>
          <w:tab w:val="num" w:pos="5760"/>
        </w:tabs>
        <w:ind w:left="5760" w:hanging="360"/>
      </w:pPr>
      <w:rPr>
        <w:rFonts w:ascii="Arial" w:hAnsi="Arial" w:hint="default"/>
      </w:rPr>
    </w:lvl>
    <w:lvl w:ilvl="8" w:tplc="77F679E4" w:tentative="1">
      <w:start w:val="1"/>
      <w:numFmt w:val="bullet"/>
      <w:lvlText w:val="•"/>
      <w:lvlJc w:val="left"/>
      <w:pPr>
        <w:tabs>
          <w:tab w:val="num" w:pos="6480"/>
        </w:tabs>
        <w:ind w:left="6480" w:hanging="360"/>
      </w:pPr>
      <w:rPr>
        <w:rFonts w:ascii="Arial" w:hAnsi="Arial" w:hint="default"/>
      </w:rPr>
    </w:lvl>
  </w:abstractNum>
  <w:num w:numId="1" w16cid:durableId="1047728817">
    <w:abstractNumId w:val="0"/>
  </w:num>
  <w:num w:numId="2" w16cid:durableId="65287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76"/>
    <w:rsid w:val="00000E04"/>
    <w:rsid w:val="00001860"/>
    <w:rsid w:val="0000353D"/>
    <w:rsid w:val="00004664"/>
    <w:rsid w:val="00005B58"/>
    <w:rsid w:val="000072CD"/>
    <w:rsid w:val="00012018"/>
    <w:rsid w:val="00022214"/>
    <w:rsid w:val="0003466E"/>
    <w:rsid w:val="000411E7"/>
    <w:rsid w:val="00042FD5"/>
    <w:rsid w:val="00043D09"/>
    <w:rsid w:val="00045BF8"/>
    <w:rsid w:val="00051003"/>
    <w:rsid w:val="00060FE1"/>
    <w:rsid w:val="00062318"/>
    <w:rsid w:val="000623ED"/>
    <w:rsid w:val="00085F57"/>
    <w:rsid w:val="000872EE"/>
    <w:rsid w:val="000908B4"/>
    <w:rsid w:val="000933A8"/>
    <w:rsid w:val="00096120"/>
    <w:rsid w:val="00096320"/>
    <w:rsid w:val="000A01DA"/>
    <w:rsid w:val="000A1232"/>
    <w:rsid w:val="000A14F9"/>
    <w:rsid w:val="000A5F49"/>
    <w:rsid w:val="000A6D19"/>
    <w:rsid w:val="000C28CF"/>
    <w:rsid w:val="000C5F7C"/>
    <w:rsid w:val="000C7617"/>
    <w:rsid w:val="000D2C99"/>
    <w:rsid w:val="000D453E"/>
    <w:rsid w:val="000D58AE"/>
    <w:rsid w:val="000D5DE6"/>
    <w:rsid w:val="000D6D11"/>
    <w:rsid w:val="000D7B67"/>
    <w:rsid w:val="000E2871"/>
    <w:rsid w:val="000E4DFB"/>
    <w:rsid w:val="000F7C54"/>
    <w:rsid w:val="00105385"/>
    <w:rsid w:val="00105464"/>
    <w:rsid w:val="00114E37"/>
    <w:rsid w:val="001255AA"/>
    <w:rsid w:val="00132901"/>
    <w:rsid w:val="001355CC"/>
    <w:rsid w:val="001439C1"/>
    <w:rsid w:val="00151124"/>
    <w:rsid w:val="00154391"/>
    <w:rsid w:val="0016059B"/>
    <w:rsid w:val="001723AC"/>
    <w:rsid w:val="00172E09"/>
    <w:rsid w:val="00181598"/>
    <w:rsid w:val="00183335"/>
    <w:rsid w:val="001A386B"/>
    <w:rsid w:val="001A3B51"/>
    <w:rsid w:val="001A5A3D"/>
    <w:rsid w:val="001B36D5"/>
    <w:rsid w:val="001C0E1E"/>
    <w:rsid w:val="001C3C46"/>
    <w:rsid w:val="001D5435"/>
    <w:rsid w:val="001E058F"/>
    <w:rsid w:val="001E0A27"/>
    <w:rsid w:val="001E10C9"/>
    <w:rsid w:val="001E6584"/>
    <w:rsid w:val="001E66FD"/>
    <w:rsid w:val="0020082B"/>
    <w:rsid w:val="00202136"/>
    <w:rsid w:val="00210A65"/>
    <w:rsid w:val="00214CE8"/>
    <w:rsid w:val="002242DA"/>
    <w:rsid w:val="0024164E"/>
    <w:rsid w:val="00241EBC"/>
    <w:rsid w:val="002450C7"/>
    <w:rsid w:val="00257CB7"/>
    <w:rsid w:val="0026366B"/>
    <w:rsid w:val="00265652"/>
    <w:rsid w:val="00274CF5"/>
    <w:rsid w:val="00282C3F"/>
    <w:rsid w:val="002851E7"/>
    <w:rsid w:val="00286E6B"/>
    <w:rsid w:val="002919B9"/>
    <w:rsid w:val="002A597B"/>
    <w:rsid w:val="002A7874"/>
    <w:rsid w:val="002B11D2"/>
    <w:rsid w:val="002C34B0"/>
    <w:rsid w:val="002C357B"/>
    <w:rsid w:val="002D0156"/>
    <w:rsid w:val="002D2764"/>
    <w:rsid w:val="002D4870"/>
    <w:rsid w:val="002D6347"/>
    <w:rsid w:val="002F4E11"/>
    <w:rsid w:val="002F5DA2"/>
    <w:rsid w:val="002F6D1F"/>
    <w:rsid w:val="002F7079"/>
    <w:rsid w:val="002F71CF"/>
    <w:rsid w:val="00300F74"/>
    <w:rsid w:val="0030216B"/>
    <w:rsid w:val="00303BB5"/>
    <w:rsid w:val="00303EA3"/>
    <w:rsid w:val="00305F6E"/>
    <w:rsid w:val="00310D0B"/>
    <w:rsid w:val="00314580"/>
    <w:rsid w:val="00314F16"/>
    <w:rsid w:val="00322DAE"/>
    <w:rsid w:val="00323E72"/>
    <w:rsid w:val="00326BA6"/>
    <w:rsid w:val="00337789"/>
    <w:rsid w:val="003422B4"/>
    <w:rsid w:val="00343726"/>
    <w:rsid w:val="0036136D"/>
    <w:rsid w:val="003707EA"/>
    <w:rsid w:val="00373B40"/>
    <w:rsid w:val="00382212"/>
    <w:rsid w:val="00385CE9"/>
    <w:rsid w:val="0038613F"/>
    <w:rsid w:val="0039086C"/>
    <w:rsid w:val="00395A84"/>
    <w:rsid w:val="00396B82"/>
    <w:rsid w:val="003A1807"/>
    <w:rsid w:val="003A241E"/>
    <w:rsid w:val="003A4E11"/>
    <w:rsid w:val="003A7E21"/>
    <w:rsid w:val="003B4A42"/>
    <w:rsid w:val="003C3EAE"/>
    <w:rsid w:val="003C60D9"/>
    <w:rsid w:val="003C7107"/>
    <w:rsid w:val="003D480C"/>
    <w:rsid w:val="003F1227"/>
    <w:rsid w:val="003F5623"/>
    <w:rsid w:val="003F563F"/>
    <w:rsid w:val="00400762"/>
    <w:rsid w:val="00400EE2"/>
    <w:rsid w:val="004036AE"/>
    <w:rsid w:val="0040399B"/>
    <w:rsid w:val="0040409E"/>
    <w:rsid w:val="00420A64"/>
    <w:rsid w:val="00423608"/>
    <w:rsid w:val="00423DCB"/>
    <w:rsid w:val="00425442"/>
    <w:rsid w:val="0042632C"/>
    <w:rsid w:val="00426444"/>
    <w:rsid w:val="00432E25"/>
    <w:rsid w:val="004438D5"/>
    <w:rsid w:val="004515A8"/>
    <w:rsid w:val="00454E34"/>
    <w:rsid w:val="00456457"/>
    <w:rsid w:val="004570EC"/>
    <w:rsid w:val="004638CB"/>
    <w:rsid w:val="00466971"/>
    <w:rsid w:val="004819B7"/>
    <w:rsid w:val="0049224B"/>
    <w:rsid w:val="00493CC9"/>
    <w:rsid w:val="004A0AEF"/>
    <w:rsid w:val="004A365F"/>
    <w:rsid w:val="004B2F45"/>
    <w:rsid w:val="004B3975"/>
    <w:rsid w:val="004B52A0"/>
    <w:rsid w:val="004C2064"/>
    <w:rsid w:val="004C56B2"/>
    <w:rsid w:val="004D1E89"/>
    <w:rsid w:val="004D6D20"/>
    <w:rsid w:val="004E0AC4"/>
    <w:rsid w:val="004E4A53"/>
    <w:rsid w:val="004E64F0"/>
    <w:rsid w:val="004F4355"/>
    <w:rsid w:val="004F6933"/>
    <w:rsid w:val="004F7C56"/>
    <w:rsid w:val="00505B64"/>
    <w:rsid w:val="005139BB"/>
    <w:rsid w:val="00517C2F"/>
    <w:rsid w:val="0052617F"/>
    <w:rsid w:val="0052697C"/>
    <w:rsid w:val="005341F2"/>
    <w:rsid w:val="005355BA"/>
    <w:rsid w:val="0054013E"/>
    <w:rsid w:val="0054577C"/>
    <w:rsid w:val="005551F2"/>
    <w:rsid w:val="00556E25"/>
    <w:rsid w:val="0055744F"/>
    <w:rsid w:val="00563603"/>
    <w:rsid w:val="005711CB"/>
    <w:rsid w:val="005866FA"/>
    <w:rsid w:val="005A4A2B"/>
    <w:rsid w:val="005A597F"/>
    <w:rsid w:val="005C16CC"/>
    <w:rsid w:val="005D04FF"/>
    <w:rsid w:val="005D742C"/>
    <w:rsid w:val="005E2ABD"/>
    <w:rsid w:val="005E4B6C"/>
    <w:rsid w:val="005F2B90"/>
    <w:rsid w:val="005F79C2"/>
    <w:rsid w:val="00600BC0"/>
    <w:rsid w:val="0060186A"/>
    <w:rsid w:val="006024A2"/>
    <w:rsid w:val="00602A26"/>
    <w:rsid w:val="006063D0"/>
    <w:rsid w:val="006124C5"/>
    <w:rsid w:val="00632399"/>
    <w:rsid w:val="00633789"/>
    <w:rsid w:val="00644588"/>
    <w:rsid w:val="00650AF9"/>
    <w:rsid w:val="00650C28"/>
    <w:rsid w:val="006540B0"/>
    <w:rsid w:val="006629CF"/>
    <w:rsid w:val="00662B09"/>
    <w:rsid w:val="006709C3"/>
    <w:rsid w:val="00671FA2"/>
    <w:rsid w:val="00674600"/>
    <w:rsid w:val="00675835"/>
    <w:rsid w:val="00675DB3"/>
    <w:rsid w:val="00681B57"/>
    <w:rsid w:val="00685AEB"/>
    <w:rsid w:val="0069383C"/>
    <w:rsid w:val="00697B87"/>
    <w:rsid w:val="00697C2A"/>
    <w:rsid w:val="00697C6B"/>
    <w:rsid w:val="006A05D4"/>
    <w:rsid w:val="006A3788"/>
    <w:rsid w:val="006A77E8"/>
    <w:rsid w:val="006B3A7C"/>
    <w:rsid w:val="006B6D81"/>
    <w:rsid w:val="006B7C2A"/>
    <w:rsid w:val="006C04FE"/>
    <w:rsid w:val="006D0FA1"/>
    <w:rsid w:val="006E10BB"/>
    <w:rsid w:val="006E346B"/>
    <w:rsid w:val="006E5E17"/>
    <w:rsid w:val="006E76C7"/>
    <w:rsid w:val="007007D1"/>
    <w:rsid w:val="00702F1C"/>
    <w:rsid w:val="00711372"/>
    <w:rsid w:val="0071253E"/>
    <w:rsid w:val="00713648"/>
    <w:rsid w:val="00725AE8"/>
    <w:rsid w:val="00733F59"/>
    <w:rsid w:val="00743394"/>
    <w:rsid w:val="00743AB7"/>
    <w:rsid w:val="00761636"/>
    <w:rsid w:val="00764288"/>
    <w:rsid w:val="0076612A"/>
    <w:rsid w:val="00766C41"/>
    <w:rsid w:val="0077107E"/>
    <w:rsid w:val="00777E9E"/>
    <w:rsid w:val="00787641"/>
    <w:rsid w:val="00791887"/>
    <w:rsid w:val="007927C9"/>
    <w:rsid w:val="00792849"/>
    <w:rsid w:val="007A0A45"/>
    <w:rsid w:val="007A495B"/>
    <w:rsid w:val="007B7EF2"/>
    <w:rsid w:val="007C2421"/>
    <w:rsid w:val="007C450E"/>
    <w:rsid w:val="007C6437"/>
    <w:rsid w:val="007D244D"/>
    <w:rsid w:val="007E270B"/>
    <w:rsid w:val="007F024C"/>
    <w:rsid w:val="007F165A"/>
    <w:rsid w:val="007F3B03"/>
    <w:rsid w:val="007F463D"/>
    <w:rsid w:val="007F698D"/>
    <w:rsid w:val="008015DF"/>
    <w:rsid w:val="00822149"/>
    <w:rsid w:val="008277DA"/>
    <w:rsid w:val="00827E50"/>
    <w:rsid w:val="00832D8C"/>
    <w:rsid w:val="008346FE"/>
    <w:rsid w:val="00843365"/>
    <w:rsid w:val="00847AC0"/>
    <w:rsid w:val="008519D5"/>
    <w:rsid w:val="0085672D"/>
    <w:rsid w:val="00866B4F"/>
    <w:rsid w:val="00870316"/>
    <w:rsid w:val="00871496"/>
    <w:rsid w:val="00876156"/>
    <w:rsid w:val="00881006"/>
    <w:rsid w:val="0088143C"/>
    <w:rsid w:val="00884B9E"/>
    <w:rsid w:val="0088557A"/>
    <w:rsid w:val="008910D0"/>
    <w:rsid w:val="008A0B95"/>
    <w:rsid w:val="008A1179"/>
    <w:rsid w:val="008A317A"/>
    <w:rsid w:val="008A4666"/>
    <w:rsid w:val="008B3638"/>
    <w:rsid w:val="008B6DCF"/>
    <w:rsid w:val="008C0D39"/>
    <w:rsid w:val="008C5BF5"/>
    <w:rsid w:val="008C64FC"/>
    <w:rsid w:val="008C7277"/>
    <w:rsid w:val="008D22E6"/>
    <w:rsid w:val="008D55A6"/>
    <w:rsid w:val="008D6987"/>
    <w:rsid w:val="008D73AC"/>
    <w:rsid w:val="008E0E50"/>
    <w:rsid w:val="008E2D1C"/>
    <w:rsid w:val="008E7A17"/>
    <w:rsid w:val="008F3519"/>
    <w:rsid w:val="008F59AC"/>
    <w:rsid w:val="008F693F"/>
    <w:rsid w:val="00900F01"/>
    <w:rsid w:val="00901110"/>
    <w:rsid w:val="00903AE3"/>
    <w:rsid w:val="00903D9B"/>
    <w:rsid w:val="00905DF0"/>
    <w:rsid w:val="009258BF"/>
    <w:rsid w:val="0093075E"/>
    <w:rsid w:val="00931617"/>
    <w:rsid w:val="00936AA2"/>
    <w:rsid w:val="00942F44"/>
    <w:rsid w:val="0094581F"/>
    <w:rsid w:val="009466EE"/>
    <w:rsid w:val="00955366"/>
    <w:rsid w:val="0095645D"/>
    <w:rsid w:val="00963F74"/>
    <w:rsid w:val="009743BC"/>
    <w:rsid w:val="00974740"/>
    <w:rsid w:val="00975A5E"/>
    <w:rsid w:val="009836C4"/>
    <w:rsid w:val="00992C6D"/>
    <w:rsid w:val="009A5464"/>
    <w:rsid w:val="009A78A5"/>
    <w:rsid w:val="009C1910"/>
    <w:rsid w:val="009C674B"/>
    <w:rsid w:val="009D1729"/>
    <w:rsid w:val="009E156F"/>
    <w:rsid w:val="009E37C0"/>
    <w:rsid w:val="009E3AB2"/>
    <w:rsid w:val="009E494A"/>
    <w:rsid w:val="009F5F80"/>
    <w:rsid w:val="00A04C9D"/>
    <w:rsid w:val="00A14DBD"/>
    <w:rsid w:val="00A150C8"/>
    <w:rsid w:val="00A23E6D"/>
    <w:rsid w:val="00A27A9A"/>
    <w:rsid w:val="00A36ED1"/>
    <w:rsid w:val="00A3778D"/>
    <w:rsid w:val="00A45C6E"/>
    <w:rsid w:val="00A460EC"/>
    <w:rsid w:val="00A46E3A"/>
    <w:rsid w:val="00A54FC1"/>
    <w:rsid w:val="00A579AD"/>
    <w:rsid w:val="00A62C34"/>
    <w:rsid w:val="00A64322"/>
    <w:rsid w:val="00A64661"/>
    <w:rsid w:val="00A65C97"/>
    <w:rsid w:val="00A717F6"/>
    <w:rsid w:val="00A72844"/>
    <w:rsid w:val="00A75F25"/>
    <w:rsid w:val="00A775A5"/>
    <w:rsid w:val="00A878A4"/>
    <w:rsid w:val="00AA745C"/>
    <w:rsid w:val="00AB6EAA"/>
    <w:rsid w:val="00AE045E"/>
    <w:rsid w:val="00AE1048"/>
    <w:rsid w:val="00AE593B"/>
    <w:rsid w:val="00AE6D4A"/>
    <w:rsid w:val="00AE7C99"/>
    <w:rsid w:val="00AF0BBB"/>
    <w:rsid w:val="00AF7CD6"/>
    <w:rsid w:val="00B025E6"/>
    <w:rsid w:val="00B05433"/>
    <w:rsid w:val="00B15EEC"/>
    <w:rsid w:val="00B2210D"/>
    <w:rsid w:val="00B23420"/>
    <w:rsid w:val="00B257E0"/>
    <w:rsid w:val="00B40803"/>
    <w:rsid w:val="00B427B8"/>
    <w:rsid w:val="00B43D85"/>
    <w:rsid w:val="00B50BD2"/>
    <w:rsid w:val="00B54FCB"/>
    <w:rsid w:val="00B55928"/>
    <w:rsid w:val="00B61761"/>
    <w:rsid w:val="00B63E8B"/>
    <w:rsid w:val="00B71500"/>
    <w:rsid w:val="00B71E76"/>
    <w:rsid w:val="00B7433F"/>
    <w:rsid w:val="00B77BD6"/>
    <w:rsid w:val="00B85D57"/>
    <w:rsid w:val="00B91A3F"/>
    <w:rsid w:val="00B92339"/>
    <w:rsid w:val="00B95C90"/>
    <w:rsid w:val="00B964B0"/>
    <w:rsid w:val="00B96BC6"/>
    <w:rsid w:val="00BA1BD1"/>
    <w:rsid w:val="00BB0685"/>
    <w:rsid w:val="00BB3D2D"/>
    <w:rsid w:val="00BB489A"/>
    <w:rsid w:val="00BB54F1"/>
    <w:rsid w:val="00BC1A78"/>
    <w:rsid w:val="00BD522F"/>
    <w:rsid w:val="00BD683D"/>
    <w:rsid w:val="00BE10FF"/>
    <w:rsid w:val="00BE2C67"/>
    <w:rsid w:val="00BE5976"/>
    <w:rsid w:val="00BF13E7"/>
    <w:rsid w:val="00BF65D7"/>
    <w:rsid w:val="00C138E7"/>
    <w:rsid w:val="00C16426"/>
    <w:rsid w:val="00C23B88"/>
    <w:rsid w:val="00C2519D"/>
    <w:rsid w:val="00C254C7"/>
    <w:rsid w:val="00C30AAD"/>
    <w:rsid w:val="00C311B9"/>
    <w:rsid w:val="00C36724"/>
    <w:rsid w:val="00C36BFC"/>
    <w:rsid w:val="00C37D99"/>
    <w:rsid w:val="00C41258"/>
    <w:rsid w:val="00C42AAB"/>
    <w:rsid w:val="00C454AD"/>
    <w:rsid w:val="00C50391"/>
    <w:rsid w:val="00C52A45"/>
    <w:rsid w:val="00C52FB2"/>
    <w:rsid w:val="00C541F2"/>
    <w:rsid w:val="00C54D04"/>
    <w:rsid w:val="00C5502A"/>
    <w:rsid w:val="00C65FFE"/>
    <w:rsid w:val="00C67363"/>
    <w:rsid w:val="00C67C4A"/>
    <w:rsid w:val="00C72487"/>
    <w:rsid w:val="00C74D1B"/>
    <w:rsid w:val="00C84B3D"/>
    <w:rsid w:val="00C93506"/>
    <w:rsid w:val="00C951D7"/>
    <w:rsid w:val="00CA5009"/>
    <w:rsid w:val="00CB2240"/>
    <w:rsid w:val="00CB435F"/>
    <w:rsid w:val="00CC130B"/>
    <w:rsid w:val="00CE43F4"/>
    <w:rsid w:val="00CF1D29"/>
    <w:rsid w:val="00CF2791"/>
    <w:rsid w:val="00CF3FA0"/>
    <w:rsid w:val="00CF5F95"/>
    <w:rsid w:val="00CF79C7"/>
    <w:rsid w:val="00D00A4B"/>
    <w:rsid w:val="00D01799"/>
    <w:rsid w:val="00D01851"/>
    <w:rsid w:val="00D06F55"/>
    <w:rsid w:val="00D07C46"/>
    <w:rsid w:val="00D150CC"/>
    <w:rsid w:val="00D260D8"/>
    <w:rsid w:val="00D30959"/>
    <w:rsid w:val="00D315ED"/>
    <w:rsid w:val="00D34769"/>
    <w:rsid w:val="00D37AF5"/>
    <w:rsid w:val="00D40503"/>
    <w:rsid w:val="00D4669F"/>
    <w:rsid w:val="00D4681D"/>
    <w:rsid w:val="00D56EFA"/>
    <w:rsid w:val="00D622B0"/>
    <w:rsid w:val="00D628C7"/>
    <w:rsid w:val="00D66C41"/>
    <w:rsid w:val="00D6769E"/>
    <w:rsid w:val="00D71452"/>
    <w:rsid w:val="00D76ECA"/>
    <w:rsid w:val="00D82330"/>
    <w:rsid w:val="00D95CDE"/>
    <w:rsid w:val="00D969E8"/>
    <w:rsid w:val="00D9762C"/>
    <w:rsid w:val="00DA0F48"/>
    <w:rsid w:val="00DB30DE"/>
    <w:rsid w:val="00DC4088"/>
    <w:rsid w:val="00DC6289"/>
    <w:rsid w:val="00DD4297"/>
    <w:rsid w:val="00DD690D"/>
    <w:rsid w:val="00DE1036"/>
    <w:rsid w:val="00DE15ED"/>
    <w:rsid w:val="00DE2370"/>
    <w:rsid w:val="00DE330C"/>
    <w:rsid w:val="00DF09E4"/>
    <w:rsid w:val="00DF15C5"/>
    <w:rsid w:val="00DF5AA8"/>
    <w:rsid w:val="00E00E16"/>
    <w:rsid w:val="00E06874"/>
    <w:rsid w:val="00E1030A"/>
    <w:rsid w:val="00E17956"/>
    <w:rsid w:val="00E24A4B"/>
    <w:rsid w:val="00E3312E"/>
    <w:rsid w:val="00E37802"/>
    <w:rsid w:val="00E41A00"/>
    <w:rsid w:val="00E42A56"/>
    <w:rsid w:val="00E458F0"/>
    <w:rsid w:val="00E52C8A"/>
    <w:rsid w:val="00E5537F"/>
    <w:rsid w:val="00E6475B"/>
    <w:rsid w:val="00E650C7"/>
    <w:rsid w:val="00E75A67"/>
    <w:rsid w:val="00E84706"/>
    <w:rsid w:val="00E90383"/>
    <w:rsid w:val="00E935D4"/>
    <w:rsid w:val="00EA68D1"/>
    <w:rsid w:val="00EA7573"/>
    <w:rsid w:val="00EB0549"/>
    <w:rsid w:val="00EB76AC"/>
    <w:rsid w:val="00EC50CB"/>
    <w:rsid w:val="00ED038F"/>
    <w:rsid w:val="00ED24D3"/>
    <w:rsid w:val="00ED4976"/>
    <w:rsid w:val="00ED4AA4"/>
    <w:rsid w:val="00ED70EE"/>
    <w:rsid w:val="00ED792C"/>
    <w:rsid w:val="00EE5746"/>
    <w:rsid w:val="00EF7739"/>
    <w:rsid w:val="00F01C53"/>
    <w:rsid w:val="00F62196"/>
    <w:rsid w:val="00F643E6"/>
    <w:rsid w:val="00F73AD3"/>
    <w:rsid w:val="00F75F49"/>
    <w:rsid w:val="00F81E11"/>
    <w:rsid w:val="00F82451"/>
    <w:rsid w:val="00F84603"/>
    <w:rsid w:val="00F8586F"/>
    <w:rsid w:val="00F85FFA"/>
    <w:rsid w:val="00F86AA5"/>
    <w:rsid w:val="00F90E15"/>
    <w:rsid w:val="00F91157"/>
    <w:rsid w:val="00F96C31"/>
    <w:rsid w:val="00FA31D6"/>
    <w:rsid w:val="00FA6276"/>
    <w:rsid w:val="00FA728D"/>
    <w:rsid w:val="00FB54C6"/>
    <w:rsid w:val="00FC29E9"/>
    <w:rsid w:val="00FD78F9"/>
    <w:rsid w:val="00FE7FCD"/>
    <w:rsid w:val="00FF1DA0"/>
    <w:rsid w:val="00FF4F23"/>
    <w:rsid w:val="00FF726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DD833"/>
  <w15:chartTrackingRefBased/>
  <w15:docId w15:val="{8D63DEC6-CEFA-4B19-8889-C306AD4D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581F"/>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C4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E90383"/>
    <w:rPr>
      <w:color w:val="0563C1" w:themeColor="hyperlink"/>
      <w:u w:val="single"/>
    </w:rPr>
  </w:style>
  <w:style w:type="character" w:styleId="MenoNoResolvida">
    <w:name w:val="Unresolved Mention"/>
    <w:basedOn w:val="Tipodeletrapredefinidodopargrafo"/>
    <w:uiPriority w:val="99"/>
    <w:semiHidden/>
    <w:unhideWhenUsed/>
    <w:rsid w:val="00E90383"/>
    <w:rPr>
      <w:color w:val="605E5C"/>
      <w:shd w:val="clear" w:color="auto" w:fill="E1DFDD"/>
    </w:rPr>
  </w:style>
  <w:style w:type="paragraph" w:styleId="Cabealho">
    <w:name w:val="header"/>
    <w:basedOn w:val="Normal"/>
    <w:link w:val="CabealhoCarter"/>
    <w:uiPriority w:val="99"/>
    <w:unhideWhenUsed/>
    <w:rsid w:val="004F693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6933"/>
  </w:style>
  <w:style w:type="paragraph" w:styleId="Rodap">
    <w:name w:val="footer"/>
    <w:basedOn w:val="Normal"/>
    <w:link w:val="RodapCarter"/>
    <w:uiPriority w:val="99"/>
    <w:unhideWhenUsed/>
    <w:rsid w:val="004F693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6933"/>
  </w:style>
  <w:style w:type="table" w:styleId="TabeladeLista2-Destaque3">
    <w:name w:val="List Table 2 Accent 3"/>
    <w:basedOn w:val="Tabelanormal"/>
    <w:uiPriority w:val="47"/>
    <w:rsid w:val="004E0A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argrafodaLista">
    <w:name w:val="List Paragraph"/>
    <w:aliases w:val="Texto justificado"/>
    <w:basedOn w:val="Normal"/>
    <w:uiPriority w:val="34"/>
    <w:qFormat/>
    <w:rsid w:val="00214CE8"/>
    <w:pPr>
      <w:ind w:left="720"/>
      <w:contextualSpacing/>
    </w:pPr>
  </w:style>
  <w:style w:type="paragraph" w:styleId="Legenda">
    <w:name w:val="caption"/>
    <w:aliases w:val="T Legenda"/>
    <w:basedOn w:val="Normal"/>
    <w:next w:val="Normal"/>
    <w:qFormat/>
    <w:rsid w:val="008B6DCF"/>
    <w:pPr>
      <w:spacing w:after="0" w:line="336" w:lineRule="auto"/>
      <w:jc w:val="center"/>
    </w:pPr>
    <w:rPr>
      <w:rFonts w:ascii="Times New Roman" w:eastAsia="Calibri" w:hAnsi="Times New Roman" w:cs="Gill Sans"/>
      <w:bCs/>
      <w:szCs w:val="20"/>
    </w:rPr>
  </w:style>
  <w:style w:type="character" w:styleId="Refdecomentrio">
    <w:name w:val="annotation reference"/>
    <w:basedOn w:val="Tipodeletrapredefinidodopargrafo"/>
    <w:uiPriority w:val="99"/>
    <w:semiHidden/>
    <w:unhideWhenUsed/>
    <w:rsid w:val="008B6DCF"/>
    <w:rPr>
      <w:sz w:val="16"/>
      <w:szCs w:val="16"/>
    </w:rPr>
  </w:style>
  <w:style w:type="paragraph" w:styleId="Textodecomentrio">
    <w:name w:val="annotation text"/>
    <w:basedOn w:val="Normal"/>
    <w:link w:val="TextodecomentrioCarter"/>
    <w:uiPriority w:val="99"/>
    <w:unhideWhenUsed/>
    <w:rsid w:val="008B6DCF"/>
    <w:pPr>
      <w:spacing w:after="0" w:line="240" w:lineRule="auto"/>
      <w:jc w:val="both"/>
    </w:pPr>
    <w:rPr>
      <w:rFonts w:ascii="Times New Roman" w:eastAsia="Calibri" w:hAnsi="Times New Roman" w:cs="Gill Sans"/>
      <w:sz w:val="20"/>
      <w:szCs w:val="20"/>
    </w:rPr>
  </w:style>
  <w:style w:type="character" w:customStyle="1" w:styleId="TextodecomentrioCarter">
    <w:name w:val="Texto de comentário Caráter"/>
    <w:basedOn w:val="Tipodeletrapredefinidodopargrafo"/>
    <w:link w:val="Textodecomentrio"/>
    <w:uiPriority w:val="99"/>
    <w:rsid w:val="008B6DCF"/>
    <w:rPr>
      <w:rFonts w:ascii="Times New Roman" w:eastAsia="Calibri" w:hAnsi="Times New Roman" w:cs="Gill Sans"/>
      <w:sz w:val="20"/>
      <w:szCs w:val="20"/>
    </w:rPr>
  </w:style>
  <w:style w:type="paragraph" w:styleId="Textodebalo">
    <w:name w:val="Balloon Text"/>
    <w:basedOn w:val="Normal"/>
    <w:link w:val="TextodebaloCarter"/>
    <w:uiPriority w:val="99"/>
    <w:semiHidden/>
    <w:unhideWhenUsed/>
    <w:rsid w:val="008B6DC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B6DCF"/>
    <w:rPr>
      <w:rFonts w:ascii="Segoe UI" w:hAnsi="Segoe UI" w:cs="Segoe UI"/>
      <w:sz w:val="18"/>
      <w:szCs w:val="18"/>
    </w:rPr>
  </w:style>
  <w:style w:type="paragraph" w:styleId="Assuntodecomentrio">
    <w:name w:val="annotation subject"/>
    <w:basedOn w:val="Textodecomentrio"/>
    <w:next w:val="Textodecomentrio"/>
    <w:link w:val="AssuntodecomentrioCarter"/>
    <w:uiPriority w:val="99"/>
    <w:semiHidden/>
    <w:unhideWhenUsed/>
    <w:rsid w:val="00936AA2"/>
    <w:pPr>
      <w:spacing w:after="160"/>
      <w:jc w:val="left"/>
    </w:pPr>
    <w:rPr>
      <w:rFonts w:asciiTheme="minorHAnsi" w:eastAsiaTheme="minorHAnsi" w:hAnsiTheme="minorHAnsi" w:cstheme="minorBidi"/>
      <w:b/>
      <w:bCs/>
    </w:rPr>
  </w:style>
  <w:style w:type="character" w:customStyle="1" w:styleId="AssuntodecomentrioCarter">
    <w:name w:val="Assunto de comentário Caráter"/>
    <w:basedOn w:val="TextodecomentrioCarter"/>
    <w:link w:val="Assuntodecomentrio"/>
    <w:uiPriority w:val="99"/>
    <w:semiHidden/>
    <w:rsid w:val="00936AA2"/>
    <w:rPr>
      <w:rFonts w:ascii="Times New Roman" w:eastAsia="Calibri" w:hAnsi="Times New Roman" w:cs="Gill Sans"/>
      <w:b/>
      <w:bCs/>
      <w:sz w:val="20"/>
      <w:szCs w:val="20"/>
    </w:rPr>
  </w:style>
  <w:style w:type="character" w:styleId="Forte">
    <w:name w:val="Strong"/>
    <w:basedOn w:val="Tipodeletrapredefinidodopargrafo"/>
    <w:uiPriority w:val="22"/>
    <w:qFormat/>
    <w:rsid w:val="008F693F"/>
    <w:rPr>
      <w:b/>
      <w:bCs/>
    </w:rPr>
  </w:style>
  <w:style w:type="character" w:styleId="Hiperligaovisitada">
    <w:name w:val="FollowedHyperlink"/>
    <w:basedOn w:val="Tipodeletrapredefinidodopargrafo"/>
    <w:uiPriority w:val="99"/>
    <w:semiHidden/>
    <w:unhideWhenUsed/>
    <w:rsid w:val="00AE6D4A"/>
    <w:rPr>
      <w:color w:val="954F72" w:themeColor="followedHyperlink"/>
      <w:u w:val="single"/>
    </w:rPr>
  </w:style>
  <w:style w:type="paragraph" w:styleId="HTMLpr-formatado">
    <w:name w:val="HTML Preformatted"/>
    <w:basedOn w:val="Normal"/>
    <w:link w:val="HTMLpr-formatadoCarter"/>
    <w:uiPriority w:val="99"/>
    <w:unhideWhenUsed/>
    <w:rsid w:val="00B6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B61761"/>
    <w:rPr>
      <w:rFonts w:ascii="Courier New" w:eastAsia="Times New Roman" w:hAnsi="Courier New" w:cs="Courier New"/>
      <w:sz w:val="20"/>
      <w:szCs w:val="20"/>
      <w:lang w:eastAsia="pt-PT"/>
    </w:rPr>
  </w:style>
  <w:style w:type="character" w:customStyle="1" w:styleId="y2iqfc">
    <w:name w:val="y2iqfc"/>
    <w:basedOn w:val="Tipodeletrapredefinidodopargrafo"/>
    <w:rsid w:val="00B61761"/>
  </w:style>
  <w:style w:type="character" w:styleId="Nmerodelinha">
    <w:name w:val="line number"/>
    <w:basedOn w:val="Tipodeletrapredefinidodopargrafo"/>
    <w:uiPriority w:val="99"/>
    <w:semiHidden/>
    <w:unhideWhenUsed/>
    <w:rsid w:val="00F91157"/>
  </w:style>
  <w:style w:type="character" w:styleId="nfase">
    <w:name w:val="Emphasis"/>
    <w:basedOn w:val="Tipodeletrapredefinidodopargrafo"/>
    <w:uiPriority w:val="20"/>
    <w:qFormat/>
    <w:rsid w:val="00D4669F"/>
    <w:rPr>
      <w:i/>
      <w:iCs/>
    </w:rPr>
  </w:style>
  <w:style w:type="paragraph" w:styleId="Ttulo">
    <w:name w:val="Title"/>
    <w:basedOn w:val="Normal"/>
    <w:next w:val="Normal"/>
    <w:link w:val="TtuloCarter"/>
    <w:qFormat/>
    <w:rsid w:val="00B77BD6"/>
    <w:pPr>
      <w:spacing w:after="120" w:line="240" w:lineRule="auto"/>
      <w:ind w:left="993"/>
    </w:pPr>
    <w:rPr>
      <w:rFonts w:ascii="Calibri" w:eastAsia="Times New Roman" w:hAnsi="Calibri" w:cs="Calibri"/>
      <w:b/>
      <w:caps/>
      <w:color w:val="000000"/>
      <w:sz w:val="28"/>
      <w:lang w:val="pt-BR"/>
    </w:rPr>
  </w:style>
  <w:style w:type="character" w:customStyle="1" w:styleId="TtuloCarter">
    <w:name w:val="Título Caráter"/>
    <w:basedOn w:val="Tipodeletrapredefinidodopargrafo"/>
    <w:link w:val="Ttulo"/>
    <w:rsid w:val="00B77BD6"/>
    <w:rPr>
      <w:rFonts w:ascii="Calibri" w:eastAsia="Times New Roman" w:hAnsi="Calibri" w:cs="Calibri"/>
      <w:b/>
      <w:caps/>
      <w:color w:val="000000"/>
      <w:sz w:val="28"/>
      <w:lang w:val="pt-BR"/>
    </w:rPr>
  </w:style>
  <w:style w:type="paragraph" w:styleId="SemEspaamento">
    <w:name w:val="No Spacing"/>
    <w:link w:val="SemEspaamentoCarter"/>
    <w:uiPriority w:val="1"/>
    <w:qFormat/>
    <w:rsid w:val="001C0E1E"/>
    <w:pPr>
      <w:spacing w:after="0" w:line="240" w:lineRule="auto"/>
    </w:pPr>
    <w:rPr>
      <w:rFonts w:eastAsiaTheme="minorEastAsia"/>
    </w:rPr>
  </w:style>
  <w:style w:type="character" w:customStyle="1" w:styleId="SemEspaamentoCarter">
    <w:name w:val="Sem Espaçamento Caráter"/>
    <w:basedOn w:val="Tipodeletrapredefinidodopargrafo"/>
    <w:link w:val="SemEspaamento"/>
    <w:uiPriority w:val="1"/>
    <w:rsid w:val="001C0E1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7817">
      <w:bodyDiv w:val="1"/>
      <w:marLeft w:val="0"/>
      <w:marRight w:val="0"/>
      <w:marTop w:val="0"/>
      <w:marBottom w:val="0"/>
      <w:divBdr>
        <w:top w:val="none" w:sz="0" w:space="0" w:color="auto"/>
        <w:left w:val="none" w:sz="0" w:space="0" w:color="auto"/>
        <w:bottom w:val="none" w:sz="0" w:space="0" w:color="auto"/>
        <w:right w:val="none" w:sz="0" w:space="0" w:color="auto"/>
      </w:divBdr>
    </w:div>
    <w:div w:id="438186682">
      <w:bodyDiv w:val="1"/>
      <w:marLeft w:val="0"/>
      <w:marRight w:val="0"/>
      <w:marTop w:val="0"/>
      <w:marBottom w:val="0"/>
      <w:divBdr>
        <w:top w:val="none" w:sz="0" w:space="0" w:color="auto"/>
        <w:left w:val="none" w:sz="0" w:space="0" w:color="auto"/>
        <w:bottom w:val="none" w:sz="0" w:space="0" w:color="auto"/>
        <w:right w:val="none" w:sz="0" w:space="0" w:color="auto"/>
      </w:divBdr>
    </w:div>
    <w:div w:id="439228971">
      <w:bodyDiv w:val="1"/>
      <w:marLeft w:val="0"/>
      <w:marRight w:val="0"/>
      <w:marTop w:val="0"/>
      <w:marBottom w:val="0"/>
      <w:divBdr>
        <w:top w:val="none" w:sz="0" w:space="0" w:color="auto"/>
        <w:left w:val="none" w:sz="0" w:space="0" w:color="auto"/>
        <w:bottom w:val="none" w:sz="0" w:space="0" w:color="auto"/>
        <w:right w:val="none" w:sz="0" w:space="0" w:color="auto"/>
      </w:divBdr>
    </w:div>
    <w:div w:id="725179221">
      <w:bodyDiv w:val="1"/>
      <w:marLeft w:val="0"/>
      <w:marRight w:val="0"/>
      <w:marTop w:val="0"/>
      <w:marBottom w:val="0"/>
      <w:divBdr>
        <w:top w:val="none" w:sz="0" w:space="0" w:color="auto"/>
        <w:left w:val="none" w:sz="0" w:space="0" w:color="auto"/>
        <w:bottom w:val="none" w:sz="0" w:space="0" w:color="auto"/>
        <w:right w:val="none" w:sz="0" w:space="0" w:color="auto"/>
      </w:divBdr>
    </w:div>
    <w:div w:id="1354726316">
      <w:bodyDiv w:val="1"/>
      <w:marLeft w:val="0"/>
      <w:marRight w:val="0"/>
      <w:marTop w:val="0"/>
      <w:marBottom w:val="0"/>
      <w:divBdr>
        <w:top w:val="none" w:sz="0" w:space="0" w:color="auto"/>
        <w:left w:val="none" w:sz="0" w:space="0" w:color="auto"/>
        <w:bottom w:val="none" w:sz="0" w:space="0" w:color="auto"/>
        <w:right w:val="none" w:sz="0" w:space="0" w:color="auto"/>
      </w:divBdr>
    </w:div>
    <w:div w:id="1523975085">
      <w:bodyDiv w:val="1"/>
      <w:marLeft w:val="0"/>
      <w:marRight w:val="0"/>
      <w:marTop w:val="0"/>
      <w:marBottom w:val="0"/>
      <w:divBdr>
        <w:top w:val="none" w:sz="0" w:space="0" w:color="auto"/>
        <w:left w:val="none" w:sz="0" w:space="0" w:color="auto"/>
        <w:bottom w:val="none" w:sz="0" w:space="0" w:color="auto"/>
        <w:right w:val="none" w:sz="0" w:space="0" w:color="auto"/>
      </w:divBdr>
    </w:div>
    <w:div w:id="1724479495">
      <w:bodyDiv w:val="1"/>
      <w:marLeft w:val="0"/>
      <w:marRight w:val="0"/>
      <w:marTop w:val="0"/>
      <w:marBottom w:val="0"/>
      <w:divBdr>
        <w:top w:val="none" w:sz="0" w:space="0" w:color="auto"/>
        <w:left w:val="none" w:sz="0" w:space="0" w:color="auto"/>
        <w:bottom w:val="none" w:sz="0" w:space="0" w:color="auto"/>
        <w:right w:val="none" w:sz="0" w:space="0" w:color="auto"/>
      </w:divBdr>
    </w:div>
    <w:div w:id="1864056618">
      <w:bodyDiv w:val="1"/>
      <w:marLeft w:val="0"/>
      <w:marRight w:val="0"/>
      <w:marTop w:val="0"/>
      <w:marBottom w:val="0"/>
      <w:divBdr>
        <w:top w:val="none" w:sz="0" w:space="0" w:color="auto"/>
        <w:left w:val="none" w:sz="0" w:space="0" w:color="auto"/>
        <w:bottom w:val="none" w:sz="0" w:space="0" w:color="auto"/>
        <w:right w:val="none" w:sz="0" w:space="0" w:color="auto"/>
      </w:divBdr>
    </w:div>
    <w:div w:id="1985546244">
      <w:bodyDiv w:val="1"/>
      <w:marLeft w:val="0"/>
      <w:marRight w:val="0"/>
      <w:marTop w:val="0"/>
      <w:marBottom w:val="0"/>
      <w:divBdr>
        <w:top w:val="none" w:sz="0" w:space="0" w:color="auto"/>
        <w:left w:val="none" w:sz="0" w:space="0" w:color="auto"/>
        <w:bottom w:val="none" w:sz="0" w:space="0" w:color="auto"/>
        <w:right w:val="none" w:sz="0" w:space="0" w:color="auto"/>
      </w:divBdr>
      <w:divsChild>
        <w:div w:id="1690983425">
          <w:marLeft w:val="446"/>
          <w:marRight w:val="0"/>
          <w:marTop w:val="0"/>
          <w:marBottom w:val="0"/>
          <w:divBdr>
            <w:top w:val="none" w:sz="0" w:space="0" w:color="auto"/>
            <w:left w:val="none" w:sz="0" w:space="0" w:color="auto"/>
            <w:bottom w:val="none" w:sz="0" w:space="0" w:color="auto"/>
            <w:right w:val="none" w:sz="0" w:space="0" w:color="auto"/>
          </w:divBdr>
        </w:div>
        <w:div w:id="7377022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914/riis.v8i1.404" TargetMode="External"/><Relationship Id="rId18" Type="http://schemas.openxmlformats.org/officeDocument/2006/relationships/hyperlink" Target="https://decs.bvsalud.org/" TargetMode="External"/><Relationship Id="rId26" Type="http://schemas.openxmlformats.org/officeDocument/2006/relationships/hyperlink" Target="http://doi.org/10.1590/1518-8345.1502.2848" TargetMode="External"/><Relationship Id="rId39" Type="http://schemas.openxmlformats.org/officeDocument/2006/relationships/hyperlink" Target="http://doi.org/10.1086/428626" TargetMode="External"/><Relationship Id="rId21" Type="http://schemas.openxmlformats.org/officeDocument/2006/relationships/hyperlink" Target="https://doi.org/10.1371/journal.pone.0260146" TargetMode="External"/><Relationship Id="rId34" Type="http://schemas.openxmlformats.org/officeDocument/2006/relationships/hyperlink" Target="http://doi.org/10.1186/s12891-020-03510-z" TargetMode="External"/><Relationship Id="rId42" Type="http://schemas.openxmlformats.org/officeDocument/2006/relationships/hyperlink" Target="http://doi.org/10.1016/j.jpain.2009.06.012" TargetMode="External"/><Relationship Id="rId47" Type="http://schemas.openxmlformats.org/officeDocument/2006/relationships/hyperlink" Target="http://doi.org/10.26355/eurrev_201904_17471" TargetMode="External"/><Relationship Id="rId50" Type="http://schemas.openxmlformats.org/officeDocument/2006/relationships/hyperlink" Target="https://www.herrero.com.br/files/revista/file1697952adda1ba567e1b860228dc424f.pdf" TargetMode="External"/><Relationship Id="rId55" Type="http://schemas.openxmlformats.org/officeDocument/2006/relationships/hyperlink" Target="http://doi.org/10.7326/M18-08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dgs.pt/programa-nacional-de-controlo-da-infeccao/relatorios/infecoes-e-resistencias-aos-antimicrobianos-2021-relatorio-anual-do-programa-prioritario-pdf.aspx" TargetMode="External"/><Relationship Id="rId11" Type="http://schemas.openxmlformats.org/officeDocument/2006/relationships/hyperlink" Target="https://orcid.org/0000-0002-4328-3755" TargetMode="External"/><Relationship Id="rId24" Type="http://schemas.openxmlformats.org/officeDocument/2006/relationships/hyperlink" Target="http://doi.org/10.1007/s11999-011-2043-3" TargetMode="External"/><Relationship Id="rId32" Type="http://schemas.openxmlformats.org/officeDocument/2006/relationships/hyperlink" Target="http://hdl.handle.net/10198/26365" TargetMode="External"/><Relationship Id="rId37" Type="http://schemas.openxmlformats.org/officeDocument/2006/relationships/hyperlink" Target="http://doi.org/10.1097/md.0000000000014882" TargetMode="External"/><Relationship Id="rId40" Type="http://schemas.openxmlformats.org/officeDocument/2006/relationships/hyperlink" Target="http://doi.org/10.1016/j.jhin.2021.04.019" TargetMode="External"/><Relationship Id="rId45" Type="http://schemas.openxmlformats.org/officeDocument/2006/relationships/hyperlink" Target="http://doi.org/10.1055/s-0042-1753534" TargetMode="External"/><Relationship Id="rId53" Type="http://schemas.openxmlformats.org/officeDocument/2006/relationships/hyperlink" Target="https://doi.org/10.1097/SLA.0000000000005670"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ucianaforte@gmail.com" TargetMode="External"/><Relationship Id="rId14" Type="http://schemas.openxmlformats.org/officeDocument/2006/relationships/header" Target="header1.xml"/><Relationship Id="rId22" Type="http://schemas.openxmlformats.org/officeDocument/2006/relationships/hyperlink" Target="http://doi.org/10.55684/79.2.1687" TargetMode="External"/><Relationship Id="rId27" Type="http://schemas.openxmlformats.org/officeDocument/2006/relationships/hyperlink" Target="http://doi.org/10.15446/av.enferm.v40n3.93397" TargetMode="External"/><Relationship Id="rId30" Type="http://schemas.openxmlformats.org/officeDocument/2006/relationships/hyperlink" Target="https://normas.dgs.min-saude.pt/wp-content/uploads/2015/12/norma_020_2015_atualizada_17_11_2022_prev_inf_local_cirurgico.pdf" TargetMode="External"/><Relationship Id="rId35" Type="http://schemas.openxmlformats.org/officeDocument/2006/relationships/hyperlink" Target="https://censos.ine.pt/xportal/xmain?xpid=INE&amp;xpgid=ine_publicacoes&amp;PUBLICACOESpub_boui=280978178&amp;PUBLICACOESmodo=2" TargetMode="External"/><Relationship Id="rId43" Type="http://schemas.openxmlformats.org/officeDocument/2006/relationships/hyperlink" Target="http://doi.org/10.12707/RIV18051" TargetMode="External"/><Relationship Id="rId48" Type="http://schemas.openxmlformats.org/officeDocument/2006/relationships/hyperlink" Target="http://doi.org/10.2106/JBJS.17.01405" TargetMode="External"/><Relationship Id="rId56" Type="http://schemas.openxmlformats.org/officeDocument/2006/relationships/hyperlink" Target="https://www.who.int/news-room/fact-sheets/detail/osteoarthritiss" TargetMode="External"/><Relationship Id="rId8" Type="http://schemas.openxmlformats.org/officeDocument/2006/relationships/hyperlink" Target="https://orcid.org/0000-0002-4328-3755" TargetMode="External"/><Relationship Id="rId51" Type="http://schemas.openxmlformats.org/officeDocument/2006/relationships/hyperlink" Target="http://doi.org/10.15649/cuidarte.1292" TargetMode="External"/><Relationship Id="rId3" Type="http://schemas.openxmlformats.org/officeDocument/2006/relationships/styles" Target="styles.xml"/><Relationship Id="rId12" Type="http://schemas.openxmlformats.org/officeDocument/2006/relationships/hyperlink" Target="mailto:lucianaforte@gmail.com" TargetMode="External"/><Relationship Id="rId17" Type="http://schemas.openxmlformats.org/officeDocument/2006/relationships/footer" Target="footer2.xml"/><Relationship Id="rId25" Type="http://schemas.openxmlformats.org/officeDocument/2006/relationships/hyperlink" Target="http://doi.org/10.1136/rmdopen-2015-000166" TargetMode="External"/><Relationship Id="rId33" Type="http://schemas.openxmlformats.org/officeDocument/2006/relationships/hyperlink" Target="http://doi.org/10.33448/rsd-v10i2.12592" TargetMode="External"/><Relationship Id="rId38" Type="http://schemas.openxmlformats.org/officeDocument/2006/relationships/hyperlink" Target="https://revistaeletronicafunvic.org/index.php/c14ffd10/article/view/278" TargetMode="External"/><Relationship Id="rId46" Type="http://schemas.openxmlformats.org/officeDocument/2006/relationships/hyperlink" Target="http://doi.org/10.11124/JBIES-21-00242" TargetMode="External"/><Relationship Id="rId59" Type="http://schemas.openxmlformats.org/officeDocument/2006/relationships/theme" Target="theme/theme1.xml"/><Relationship Id="rId20" Type="http://schemas.openxmlformats.org/officeDocument/2006/relationships/hyperlink" Target="http://doi.org/10.1007/s11999-010-1737-2" TargetMode="External"/><Relationship Id="rId41" Type="http://schemas.openxmlformats.org/officeDocument/2006/relationships/hyperlink" Target="http://doi.org/10.1111/iwj.12640" TargetMode="External"/><Relationship Id="rId54" Type="http://schemas.openxmlformats.org/officeDocument/2006/relationships/hyperlink" Target="http://doi.org/10.1055/s-0041-17363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alterg.com/wp-content/uploads/2018/06/Total-Knee-Arthroplasty.pdf" TargetMode="External"/><Relationship Id="rId28" Type="http://schemas.openxmlformats.org/officeDocument/2006/relationships/hyperlink" Target="https://dre.pt/web/guest/pesquisa/-/search/171891094/details/maximized" TargetMode="External"/><Relationship Id="rId36" Type="http://schemas.openxmlformats.org/officeDocument/2006/relationships/hyperlink" Target="http://doi.org/10.7759/cureus.44587" TargetMode="External"/><Relationship Id="rId49" Type="http://schemas.openxmlformats.org/officeDocument/2006/relationships/hyperlink" Target="http://doi.org/10.1007/s00167-018-5231-9" TargetMode="External"/><Relationship Id="rId57" Type="http://schemas.openxmlformats.org/officeDocument/2006/relationships/hyperlink" Target="http://doi.org/10.1097/md.0000000000019283" TargetMode="External"/><Relationship Id="rId10" Type="http://schemas.openxmlformats.org/officeDocument/2006/relationships/hyperlink" Target="https://doi.org/10.37914/riis.v8i1.404" TargetMode="External"/><Relationship Id="rId31" Type="http://schemas.openxmlformats.org/officeDocument/2006/relationships/hyperlink" Target="https://www.ecdc.europa.eu/sites/default/files/documents/AER_for_2017-SSI.pdf" TargetMode="External"/><Relationship Id="rId44" Type="http://schemas.openxmlformats.org/officeDocument/2006/relationships/hyperlink" Target="https://hdl.handle.net/10216/76726" TargetMode="External"/><Relationship Id="rId52" Type="http://schemas.openxmlformats.org/officeDocument/2006/relationships/hyperlink" Target="http://doi.org/10.9789/2175-5361.rpcfo.v13.969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37914/riis.v8i1.4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Ins23</b:Tag>
    <b:SourceType>ArticleInAPeriodical</b:SourceType>
    <b:Guid>{5037A845-936D-4545-8844-D784692C22AB}</b:Guid>
    <b:Author>
      <b:Author>
        <b:NameList>
          <b:Person>
            <b:Last>Instituto Nacional de Estatística</b:Last>
            <b:First>IP</b:First>
          </b:Person>
        </b:NameList>
      </b:Author>
      <b:Editor>
        <b:NameList>
          <b:Person>
            <b:Last>Instituto Nacional de Estatística</b:Last>
            <b:First>IP</b:First>
          </b:Person>
        </b:NameList>
      </b:Editor>
    </b:Author>
    <b:Title>Estatísticas Demográficas - 2022</b:Title>
    <b:Year>2023</b:Year>
    <b:ShortTitle>INE</b:ShortTitle>
    <b:YearAccessed>2024</b:YearAccessed>
    <b:MonthAccessed>fevereiro</b:MonthAccessed>
    <b:DayAccessed>18</b:DayAccessed>
    <b:URL>file:///C:/Users/Utilizador/Downloads/ED2022.pdf</b:URL>
    <b:RefOrder>22</b:RefOrder>
  </b:Source>
</b:Sources>
</file>

<file path=customXml/itemProps1.xml><?xml version="1.0" encoding="utf-8"?>
<ds:datastoreItem xmlns:ds="http://schemas.openxmlformats.org/officeDocument/2006/customXml" ds:itemID="{41C22430-5C6D-4F2D-805B-D8587EEB0C77}">
  <ds:schemaRefs>
    <ds:schemaRef ds:uri="http://schemas.openxmlformats.org/officeDocument/2006/bibliography"/>
  </ds:schemaRefs>
</ds:datastoreItem>
</file>

<file path=docMetadata/LabelInfo.xml><?xml version="1.0" encoding="utf-8"?>
<clbl:labelList xmlns:clbl="http://schemas.microsoft.com/office/2020/mipLabelMetadata">
  <clbl:label id="{2036b4c1-6743-4125-b28d-e58563934327}" enabled="0" method="" siteId="{2036b4c1-6743-4125-b28d-e5856393432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9821</Words>
  <Characters>53034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Forte</dc:creator>
  <cp:keywords/>
  <dc:description/>
  <cp:lastModifiedBy>SDIB</cp:lastModifiedBy>
  <cp:revision>5</cp:revision>
  <dcterms:created xsi:type="dcterms:W3CDTF">2025-06-11T14:26:00Z</dcterms:created>
  <dcterms:modified xsi:type="dcterms:W3CDTF">2025-06-17T15:28:00Z</dcterms:modified>
</cp:coreProperties>
</file>